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0C531B" w:rsidRPr="00512403" w:rsidP="000C531B" w14:paraId="2FDCAFE0" w14:textId="77777777">
      <w:pPr>
        <w:jc w:val="center"/>
        <w:rPr>
          <w:b/>
          <w:sz w:val="16"/>
          <w:szCs w:val="16"/>
          <w:lang w:val="pt-BR"/>
        </w:rPr>
      </w:pPr>
      <w:r w:rsidRPr="00512403">
        <w:rPr>
          <w:b/>
          <w:sz w:val="16"/>
          <w:szCs w:val="16"/>
          <w:lang w:val="pt-BR"/>
        </w:rPr>
        <w:t>PARTE II</w:t>
      </w:r>
    </w:p>
    <w:p w:rsidR="000C531B" w:rsidRPr="00512403" w:rsidP="000C531B" w14:paraId="2FDCAFE1" w14:textId="77777777">
      <w:pPr>
        <w:jc w:val="center"/>
        <w:rPr>
          <w:b/>
          <w:sz w:val="16"/>
          <w:szCs w:val="16"/>
          <w:lang w:val="pt-BR"/>
        </w:rPr>
      </w:pPr>
      <w:r w:rsidRPr="00512403">
        <w:rPr>
          <w:b/>
          <w:sz w:val="16"/>
          <w:szCs w:val="16"/>
          <w:lang w:val="pt-BR"/>
        </w:rPr>
        <w:t>MERCADO INTERMEDIADO</w:t>
      </w:r>
    </w:p>
    <w:p w:rsidR="000C531B" w:rsidRPr="00512403" w:rsidP="000C531B" w14:paraId="2FDCAFE2" w14:textId="77777777">
      <w:pPr>
        <w:jc w:val="center"/>
        <w:rPr>
          <w:b/>
          <w:sz w:val="16"/>
          <w:szCs w:val="16"/>
          <w:lang w:val="pt-BR"/>
        </w:rPr>
      </w:pPr>
    </w:p>
    <w:p w:rsidR="000C531B" w:rsidRPr="00512403" w:rsidP="000C531B" w14:paraId="2FDCAFE3" w14:textId="77777777">
      <w:pPr>
        <w:jc w:val="center"/>
        <w:rPr>
          <w:b/>
          <w:sz w:val="16"/>
          <w:szCs w:val="16"/>
          <w:lang w:val="pt-BR"/>
        </w:rPr>
      </w:pPr>
      <w:r w:rsidRPr="00512403">
        <w:rPr>
          <w:b/>
          <w:sz w:val="16"/>
          <w:szCs w:val="16"/>
          <w:lang w:val="pt-BR"/>
        </w:rPr>
        <w:t>TÍTULO III</w:t>
      </w:r>
    </w:p>
    <w:p w:rsidR="000C531B" w:rsidRPr="00512403" w:rsidP="000C531B" w14:paraId="2FDCAFE4" w14:textId="77777777">
      <w:pPr>
        <w:jc w:val="center"/>
        <w:rPr>
          <w:b/>
          <w:sz w:val="16"/>
          <w:szCs w:val="16"/>
        </w:rPr>
      </w:pPr>
      <w:r w:rsidRPr="00512403">
        <w:rPr>
          <w:b/>
          <w:sz w:val="16"/>
          <w:szCs w:val="16"/>
        </w:rPr>
        <w:t>INSTRUCCIONES GENERALES RELATIVAS A LAS OPERACIONES DE LAS ENTIDADES ADMINISTRADORAS DE PENSIONES Y CESANTÍAS</w:t>
      </w:r>
    </w:p>
    <w:p w:rsidR="000C531B" w:rsidRPr="00512403" w:rsidP="000C531B" w14:paraId="2FDCAFE5" w14:textId="77777777">
      <w:pPr>
        <w:jc w:val="center"/>
        <w:rPr>
          <w:b/>
          <w:sz w:val="16"/>
          <w:szCs w:val="16"/>
        </w:rPr>
      </w:pPr>
    </w:p>
    <w:p w:rsidR="000C531B" w:rsidRPr="00512403" w:rsidP="000C531B" w14:paraId="2FDCAFE6" w14:textId="77777777">
      <w:pPr>
        <w:ind w:right="141"/>
        <w:jc w:val="center"/>
        <w:rPr>
          <w:b/>
          <w:sz w:val="16"/>
          <w:szCs w:val="16"/>
        </w:rPr>
      </w:pPr>
      <w:r w:rsidRPr="00512403">
        <w:rPr>
          <w:b/>
          <w:sz w:val="16"/>
          <w:szCs w:val="16"/>
        </w:rPr>
        <w:t>CAPÍTULO IV: DISPOSICIONES COMUNES A LA ADMINISTRACIÓN DE LOS FONDOS DE PENSIONES OBLIGATORIAS Y LOS PORTAFOLIOS DE CESANTÍAS</w:t>
      </w:r>
    </w:p>
    <w:p w:rsidR="000C531B" w:rsidRPr="00512403" w:rsidP="000C531B" w14:paraId="2FDCAFE7" w14:textId="77777777">
      <w:pPr>
        <w:rPr>
          <w:rFonts w:cs="Arial"/>
          <w:b/>
          <w:sz w:val="16"/>
          <w:szCs w:val="16"/>
        </w:rPr>
      </w:pPr>
    </w:p>
    <w:p w:rsidR="000C531B" w:rsidRPr="00512403" w:rsidP="000C531B" w14:paraId="2FDCAFE8" w14:textId="77777777">
      <w:pPr>
        <w:rPr>
          <w:rFonts w:cs="Arial"/>
          <w:b/>
          <w:sz w:val="16"/>
          <w:szCs w:val="16"/>
        </w:rPr>
      </w:pPr>
    </w:p>
    <w:p w:rsidR="000C531B" w:rsidRPr="00512403" w:rsidP="000C531B" w14:paraId="2FDCAFE9" w14:textId="77777777">
      <w:pPr>
        <w:pStyle w:val="Encabezadodetabladecontenido1"/>
        <w:spacing w:before="0"/>
        <w:rPr>
          <w:rFonts w:ascii="Arial" w:hAnsi="Arial" w:cs="Arial"/>
          <w:color w:val="auto"/>
          <w:sz w:val="16"/>
          <w:szCs w:val="16"/>
        </w:rPr>
      </w:pPr>
      <w:r w:rsidRPr="00512403">
        <w:rPr>
          <w:rFonts w:ascii="Arial" w:hAnsi="Arial" w:cs="Arial"/>
          <w:color w:val="auto"/>
          <w:sz w:val="16"/>
          <w:szCs w:val="16"/>
          <w:lang w:val="es-ES"/>
        </w:rPr>
        <w:t>CONTENIDO</w:t>
      </w:r>
    </w:p>
    <w:p w:rsidR="000C531B" w:rsidRPr="00512403" w:rsidP="000C531B" w14:paraId="2FDCAFEA" w14:textId="77777777">
      <w:pPr>
        <w:pStyle w:val="TOC1"/>
        <w:rPr>
          <w:rFonts w:ascii="Calibri" w:eastAsia="MS ??" w:hAnsi="Calibri"/>
          <w:b w:val="0"/>
          <w:bCs w:val="0"/>
          <w:noProof/>
          <w:sz w:val="24"/>
          <w:szCs w:val="24"/>
          <w:lang w:eastAsia="ja-JP"/>
        </w:rPr>
      </w:pPr>
      <w:r w:rsidRPr="00512403">
        <w:rPr>
          <w:rFonts w:ascii="Calibri" w:hAnsi="Calibri"/>
          <w:sz w:val="20"/>
        </w:rPr>
        <w:fldChar w:fldCharType="begin"/>
      </w:r>
      <w:r w:rsidRPr="00512403">
        <w:rPr>
          <w:rFonts w:ascii="Calibri" w:hAnsi="Calibri"/>
          <w:sz w:val="20"/>
        </w:rPr>
        <w:instrText xml:space="preserve"> TOC \o "1-2" \h \z \u </w:instrText>
      </w:r>
      <w:r w:rsidRPr="00512403">
        <w:rPr>
          <w:rFonts w:ascii="Calibri" w:hAnsi="Calibri"/>
          <w:sz w:val="20"/>
        </w:rPr>
        <w:fldChar w:fldCharType="separate"/>
      </w:r>
      <w:r w:rsidRPr="00512403">
        <w:rPr>
          <w:noProof/>
        </w:rPr>
        <w:t xml:space="preserve">1. </w:t>
      </w:r>
      <w:r w:rsidRPr="00512403">
        <w:rPr>
          <w:caps/>
          <w:noProof/>
        </w:rPr>
        <w:t>REGISTRO DE OPERACIONES CON LOS RECURSOS DE LOS TIPOS DE FONDOS DE PENSIONES OBLIGATORIAS Y LOS PORTAFOLIOS DE LOS FONDOS DE CESANTÍA</w:t>
      </w:r>
    </w:p>
    <w:p w:rsidR="000C531B" w:rsidRPr="00512403" w:rsidP="000C531B" w14:paraId="2FDCAFEB" w14:textId="77777777">
      <w:pPr>
        <w:pStyle w:val="TOC1"/>
        <w:rPr>
          <w:rFonts w:ascii="Calibri" w:eastAsia="MS ??" w:hAnsi="Calibri"/>
          <w:b w:val="0"/>
          <w:bCs w:val="0"/>
          <w:noProof/>
          <w:sz w:val="24"/>
          <w:szCs w:val="24"/>
          <w:lang w:eastAsia="ja-JP"/>
        </w:rPr>
      </w:pPr>
      <w:r w:rsidRPr="00512403">
        <w:rPr>
          <w:caps/>
          <w:noProof/>
        </w:rPr>
        <w:t>2. POLÍTICAS DE INVERSIÓN, ASIGNACIÓN ESTRATÉGICA DE ACTIVOS Y FUNCIONES DE LOS COMITÉS DE RIESGOS E INVERSIONES</w:t>
      </w:r>
    </w:p>
    <w:p w:rsidR="000C531B" w:rsidRPr="00512403" w:rsidP="00F0621B" w14:paraId="2FDCAFEC" w14:textId="77777777">
      <w:pPr>
        <w:pStyle w:val="TOC2"/>
        <w:rPr>
          <w:rFonts w:ascii="Calibri" w:eastAsia="MS ??" w:hAnsi="Calibri"/>
          <w:iCs w:val="0"/>
          <w:noProof/>
          <w:sz w:val="24"/>
          <w:szCs w:val="24"/>
          <w:lang w:eastAsia="ja-JP"/>
        </w:rPr>
      </w:pPr>
      <w:r w:rsidRPr="00512403">
        <w:rPr>
          <w:noProof/>
        </w:rPr>
        <w:t>2.1. Políticas de inversión</w:t>
      </w:r>
    </w:p>
    <w:p w:rsidR="000C531B" w:rsidRPr="00512403" w:rsidP="00F0621B" w14:paraId="2FDCAFED" w14:textId="77777777">
      <w:pPr>
        <w:pStyle w:val="TOC2"/>
        <w:rPr>
          <w:rFonts w:ascii="Calibri" w:eastAsia="MS ??" w:hAnsi="Calibri"/>
          <w:iCs w:val="0"/>
          <w:noProof/>
          <w:sz w:val="24"/>
          <w:szCs w:val="24"/>
          <w:lang w:eastAsia="ja-JP"/>
        </w:rPr>
      </w:pPr>
      <w:r w:rsidRPr="00512403">
        <w:rPr>
          <w:noProof/>
        </w:rPr>
        <w:t>2.2. Comité de riesgos y comité de inversiones</w:t>
      </w:r>
    </w:p>
    <w:p w:rsidR="000C531B" w:rsidRPr="00512403" w:rsidP="00F0621B" w14:paraId="2FDCAFEE" w14:textId="77777777">
      <w:pPr>
        <w:pStyle w:val="TOC2"/>
        <w:rPr>
          <w:rFonts w:ascii="Calibri" w:eastAsia="MS ??" w:hAnsi="Calibri"/>
          <w:iCs w:val="0"/>
          <w:noProof/>
          <w:sz w:val="24"/>
          <w:szCs w:val="24"/>
          <w:lang w:eastAsia="ja-JP"/>
        </w:rPr>
      </w:pPr>
      <w:r w:rsidRPr="00512403">
        <w:rPr>
          <w:noProof/>
        </w:rPr>
        <w:t>2.3. Asignación estratégica de activos</w:t>
      </w:r>
    </w:p>
    <w:p w:rsidR="000C531B" w:rsidRPr="00512403" w:rsidP="000C531B" w14:paraId="2FDCAFEF" w14:textId="77777777">
      <w:pPr>
        <w:pStyle w:val="TOC1"/>
        <w:rPr>
          <w:rFonts w:ascii="Calibri" w:eastAsia="MS ??" w:hAnsi="Calibri"/>
          <w:b w:val="0"/>
          <w:bCs w:val="0"/>
          <w:noProof/>
          <w:sz w:val="24"/>
          <w:szCs w:val="24"/>
          <w:lang w:eastAsia="ja-JP"/>
        </w:rPr>
      </w:pPr>
      <w:r w:rsidRPr="00512403">
        <w:rPr>
          <w:caps/>
          <w:noProof/>
        </w:rPr>
        <w:t>3. EJERCICIO DE LOS DERECHOS POLÍTICOS DE LAS AFPC RESPECTO DE LAS INVERSIONES QUE REALICEN CON LOS RECURSOS DE LOS FONDOS DE PENSIONES OBLIGATORIAS Y DE CESANTÍAS</w:t>
      </w:r>
    </w:p>
    <w:p w:rsidR="000C531B" w:rsidRPr="00512403" w:rsidP="000C531B" w14:paraId="2FDCAFF0" w14:textId="77777777">
      <w:pPr>
        <w:pStyle w:val="TOC2"/>
        <w:rPr>
          <w:rFonts w:ascii="Calibri" w:eastAsia="MS ??" w:hAnsi="Calibri"/>
          <w:iCs w:val="0"/>
          <w:noProof/>
          <w:sz w:val="24"/>
          <w:szCs w:val="24"/>
          <w:lang w:eastAsia="ja-JP"/>
        </w:rPr>
      </w:pPr>
      <w:r w:rsidRPr="00512403">
        <w:rPr>
          <w:noProof/>
        </w:rPr>
        <w:t>3.1. Contenido mínimo</w:t>
      </w:r>
    </w:p>
    <w:p w:rsidR="000C531B" w:rsidRPr="00512403" w:rsidP="000C531B" w14:paraId="2FDCAFF1" w14:textId="77777777">
      <w:pPr>
        <w:pStyle w:val="TOC2"/>
        <w:rPr>
          <w:rFonts w:ascii="Calibri" w:eastAsia="MS ??" w:hAnsi="Calibri"/>
          <w:iCs w:val="0"/>
          <w:noProof/>
          <w:sz w:val="24"/>
          <w:szCs w:val="24"/>
          <w:lang w:eastAsia="ja-JP"/>
        </w:rPr>
      </w:pPr>
      <w:r w:rsidRPr="00512403">
        <w:rPr>
          <w:noProof/>
        </w:rPr>
        <w:t>3.2. Divulgación</w:t>
      </w:r>
    </w:p>
    <w:p w:rsidR="000C531B" w:rsidRPr="00512403" w:rsidP="000C531B" w14:paraId="2FDCAFF2" w14:textId="77777777">
      <w:pPr>
        <w:pStyle w:val="TOC2"/>
        <w:rPr>
          <w:rFonts w:ascii="Calibri" w:eastAsia="MS ??" w:hAnsi="Calibri"/>
          <w:iCs w:val="0"/>
          <w:noProof/>
          <w:sz w:val="24"/>
          <w:szCs w:val="24"/>
          <w:lang w:eastAsia="ja-JP"/>
        </w:rPr>
      </w:pPr>
      <w:r w:rsidRPr="00512403">
        <w:rPr>
          <w:noProof/>
        </w:rPr>
        <w:t>3.3. Revisión periódica</w:t>
      </w:r>
    </w:p>
    <w:p w:rsidR="000C531B" w:rsidRPr="00512403" w:rsidP="000C531B" w14:paraId="2FDCAFF3" w14:textId="77777777">
      <w:r w:rsidRPr="00512403">
        <w:rPr>
          <w:rFonts w:ascii="Calibri" w:hAnsi="Calibri"/>
          <w:sz w:val="20"/>
        </w:rPr>
        <w:fldChar w:fldCharType="end"/>
      </w:r>
    </w:p>
    <w:p w:rsidR="00D676DD" w:rsidP="00F0621B" w14:paraId="2FDCAFF4" w14:textId="57424A3F">
      <w:pPr>
        <w:pBdr>
          <w:left w:val="single" w:sz="4" w:space="4" w:color="auto"/>
        </w:pBdr>
        <w:rPr>
          <w:b/>
          <w:sz w:val="16"/>
          <w:szCs w:val="16"/>
        </w:rPr>
      </w:pPr>
      <w:r w:rsidRPr="00512403">
        <w:rPr>
          <w:b/>
          <w:sz w:val="16"/>
          <w:szCs w:val="16"/>
        </w:rPr>
        <w:t>4. CÓMPUTO DE LOS LÍMITES EN INVERSIONES RESTRINGIDAS</w:t>
      </w:r>
    </w:p>
    <w:p w:rsidR="00686A8B" w:rsidRPr="00512403" w:rsidP="00F0621B" w14:paraId="25273B30" w14:textId="77777777">
      <w:pPr>
        <w:pBdr>
          <w:left w:val="single" w:sz="4" w:space="4" w:color="auto"/>
        </w:pBdr>
        <w:rPr>
          <w:b/>
          <w:sz w:val="16"/>
          <w:szCs w:val="16"/>
        </w:rPr>
      </w:pPr>
    </w:p>
    <w:p w:rsidR="00F0621B" w:rsidRPr="00512403" w:rsidP="00F0621B" w14:paraId="43976E8D" w14:textId="2767CBC1">
      <w:pPr>
        <w:pBdr>
          <w:left w:val="single" w:sz="4" w:space="4" w:color="auto"/>
        </w:pBdr>
        <w:ind w:left="142"/>
        <w:rPr>
          <w:b/>
          <w:sz w:val="14"/>
          <w:szCs w:val="14"/>
        </w:rPr>
      </w:pPr>
      <w:r w:rsidRPr="00512403">
        <w:rPr>
          <w:b/>
          <w:sz w:val="16"/>
          <w:szCs w:val="18"/>
        </w:rPr>
        <w:t>4.1 Condiciones de los mecanismos para determinar la exposición real de los vehículos de inversión a las inversiones consideradas como restringidas.</w:t>
      </w:r>
    </w:p>
    <w:p w:rsidR="00D676DD" w:rsidRPr="00512403" w:rsidP="0068273A" w14:paraId="2FDCAFF5" w14:textId="77777777">
      <w:pPr>
        <w:jc w:val="center"/>
        <w:rPr>
          <w:b/>
          <w:sz w:val="16"/>
          <w:szCs w:val="16"/>
        </w:rPr>
      </w:pPr>
    </w:p>
    <w:p w:rsidR="00D676DD" w:rsidRPr="00512403" w:rsidP="0068273A" w14:paraId="2FDCAFF6" w14:textId="77777777">
      <w:pPr>
        <w:jc w:val="center"/>
        <w:rPr>
          <w:b/>
          <w:sz w:val="16"/>
          <w:szCs w:val="16"/>
        </w:rPr>
      </w:pPr>
    </w:p>
    <w:p w:rsidR="00D676DD" w:rsidRPr="00512403" w:rsidP="0068273A" w14:paraId="2FDCAFF7" w14:textId="77777777">
      <w:pPr>
        <w:jc w:val="center"/>
        <w:rPr>
          <w:b/>
          <w:sz w:val="16"/>
          <w:szCs w:val="16"/>
        </w:rPr>
      </w:pPr>
    </w:p>
    <w:p w:rsidR="00D676DD" w:rsidRPr="00512403" w:rsidP="0068273A" w14:paraId="2FDCAFF8" w14:textId="77777777">
      <w:pPr>
        <w:jc w:val="center"/>
        <w:rPr>
          <w:b/>
          <w:sz w:val="16"/>
          <w:szCs w:val="16"/>
        </w:rPr>
      </w:pPr>
    </w:p>
    <w:p w:rsidR="00D676DD" w:rsidRPr="00512403" w:rsidP="0068273A" w14:paraId="2FDCAFF9" w14:textId="77777777">
      <w:pPr>
        <w:jc w:val="center"/>
        <w:rPr>
          <w:b/>
          <w:sz w:val="16"/>
          <w:szCs w:val="16"/>
        </w:rPr>
      </w:pPr>
    </w:p>
    <w:p w:rsidR="00D676DD" w:rsidRPr="00512403" w:rsidP="0068273A" w14:paraId="2FDCAFFA" w14:textId="77777777">
      <w:pPr>
        <w:jc w:val="center"/>
        <w:rPr>
          <w:b/>
          <w:sz w:val="16"/>
          <w:szCs w:val="16"/>
        </w:rPr>
      </w:pPr>
    </w:p>
    <w:p w:rsidR="00D676DD" w:rsidRPr="00512403" w:rsidP="0068273A" w14:paraId="2FDCAFFB" w14:textId="77777777">
      <w:pPr>
        <w:jc w:val="center"/>
        <w:rPr>
          <w:b/>
          <w:sz w:val="16"/>
          <w:szCs w:val="16"/>
        </w:rPr>
      </w:pPr>
    </w:p>
    <w:p w:rsidR="00D676DD" w:rsidRPr="00512403" w:rsidP="0068273A" w14:paraId="2FDCAFFC" w14:textId="77777777">
      <w:pPr>
        <w:jc w:val="center"/>
        <w:rPr>
          <w:b/>
          <w:sz w:val="16"/>
          <w:szCs w:val="16"/>
        </w:rPr>
      </w:pPr>
    </w:p>
    <w:p w:rsidR="00D676DD" w:rsidRPr="00512403" w:rsidP="0068273A" w14:paraId="2FDCAFFD" w14:textId="77777777">
      <w:pPr>
        <w:jc w:val="center"/>
        <w:rPr>
          <w:b/>
          <w:sz w:val="16"/>
          <w:szCs w:val="16"/>
        </w:rPr>
      </w:pPr>
    </w:p>
    <w:p w:rsidR="00D676DD" w:rsidRPr="00512403" w:rsidP="0068273A" w14:paraId="2FDCAFFE" w14:textId="77777777">
      <w:pPr>
        <w:jc w:val="center"/>
        <w:rPr>
          <w:b/>
          <w:sz w:val="16"/>
          <w:szCs w:val="16"/>
        </w:rPr>
      </w:pPr>
    </w:p>
    <w:p w:rsidR="00D676DD" w:rsidRPr="00512403" w:rsidP="0068273A" w14:paraId="2FDCAFFF" w14:textId="77777777">
      <w:pPr>
        <w:jc w:val="center"/>
        <w:rPr>
          <w:b/>
          <w:sz w:val="16"/>
          <w:szCs w:val="16"/>
        </w:rPr>
      </w:pPr>
    </w:p>
    <w:p w:rsidR="00D676DD" w:rsidRPr="00512403" w:rsidP="0068273A" w14:paraId="2FDCB000" w14:textId="77777777">
      <w:pPr>
        <w:jc w:val="center"/>
        <w:rPr>
          <w:b/>
          <w:sz w:val="16"/>
          <w:szCs w:val="16"/>
        </w:rPr>
      </w:pPr>
    </w:p>
    <w:p w:rsidR="00D676DD" w:rsidRPr="00512403" w:rsidP="0068273A" w14:paraId="2FDCB001" w14:textId="77777777">
      <w:pPr>
        <w:jc w:val="center"/>
        <w:rPr>
          <w:b/>
          <w:sz w:val="16"/>
          <w:szCs w:val="16"/>
        </w:rPr>
      </w:pPr>
    </w:p>
    <w:p w:rsidR="00D676DD" w:rsidRPr="00512403" w:rsidP="0068273A" w14:paraId="2FDCB002" w14:textId="77777777">
      <w:pPr>
        <w:jc w:val="center"/>
        <w:rPr>
          <w:b/>
          <w:sz w:val="16"/>
          <w:szCs w:val="16"/>
        </w:rPr>
      </w:pPr>
    </w:p>
    <w:p w:rsidR="00D676DD" w:rsidRPr="00512403" w:rsidP="0068273A" w14:paraId="2FDCB003" w14:textId="77777777">
      <w:pPr>
        <w:jc w:val="center"/>
        <w:rPr>
          <w:b/>
          <w:sz w:val="16"/>
          <w:szCs w:val="16"/>
        </w:rPr>
      </w:pPr>
    </w:p>
    <w:p w:rsidR="00D676DD" w:rsidRPr="00512403" w:rsidP="0068273A" w14:paraId="2FDCB004" w14:textId="77777777">
      <w:pPr>
        <w:jc w:val="center"/>
        <w:rPr>
          <w:b/>
          <w:sz w:val="16"/>
          <w:szCs w:val="16"/>
        </w:rPr>
      </w:pPr>
    </w:p>
    <w:p w:rsidR="00D676DD" w:rsidRPr="00512403" w:rsidP="0068273A" w14:paraId="2FDCB005" w14:textId="77777777">
      <w:pPr>
        <w:jc w:val="center"/>
        <w:rPr>
          <w:b/>
          <w:sz w:val="16"/>
          <w:szCs w:val="16"/>
        </w:rPr>
      </w:pPr>
    </w:p>
    <w:p w:rsidR="00D676DD" w:rsidRPr="00512403" w:rsidP="0068273A" w14:paraId="2FDCB006" w14:textId="77777777">
      <w:pPr>
        <w:jc w:val="center"/>
        <w:rPr>
          <w:b/>
          <w:sz w:val="16"/>
          <w:szCs w:val="16"/>
        </w:rPr>
      </w:pPr>
    </w:p>
    <w:p w:rsidR="00D676DD" w:rsidRPr="00512403" w:rsidP="0068273A" w14:paraId="2FDCB007" w14:textId="77777777">
      <w:pPr>
        <w:jc w:val="center"/>
        <w:rPr>
          <w:b/>
          <w:sz w:val="16"/>
          <w:szCs w:val="16"/>
        </w:rPr>
      </w:pPr>
    </w:p>
    <w:p w:rsidR="00D676DD" w:rsidRPr="00512403" w:rsidP="0068273A" w14:paraId="2FDCB008" w14:textId="77777777">
      <w:pPr>
        <w:jc w:val="center"/>
        <w:rPr>
          <w:b/>
          <w:sz w:val="16"/>
          <w:szCs w:val="16"/>
        </w:rPr>
      </w:pPr>
    </w:p>
    <w:p w:rsidR="00D676DD" w:rsidRPr="00512403" w:rsidP="0068273A" w14:paraId="2FDCB009" w14:textId="77777777">
      <w:pPr>
        <w:jc w:val="center"/>
        <w:rPr>
          <w:b/>
          <w:sz w:val="16"/>
          <w:szCs w:val="16"/>
        </w:rPr>
      </w:pPr>
    </w:p>
    <w:p w:rsidR="00D676DD" w:rsidRPr="00512403" w:rsidP="0068273A" w14:paraId="2FDCB00A" w14:textId="77777777">
      <w:pPr>
        <w:jc w:val="center"/>
        <w:rPr>
          <w:b/>
          <w:sz w:val="16"/>
          <w:szCs w:val="16"/>
        </w:rPr>
      </w:pPr>
    </w:p>
    <w:p w:rsidR="00D676DD" w:rsidRPr="00512403" w:rsidP="0068273A" w14:paraId="2FDCB00B" w14:textId="77777777">
      <w:pPr>
        <w:jc w:val="center"/>
        <w:rPr>
          <w:b/>
          <w:sz w:val="16"/>
          <w:szCs w:val="16"/>
        </w:rPr>
      </w:pPr>
    </w:p>
    <w:p w:rsidR="00D676DD" w:rsidRPr="00512403" w:rsidP="0068273A" w14:paraId="2FDCB00C" w14:textId="77777777">
      <w:pPr>
        <w:jc w:val="center"/>
        <w:rPr>
          <w:b/>
          <w:sz w:val="16"/>
          <w:szCs w:val="16"/>
        </w:rPr>
      </w:pPr>
    </w:p>
    <w:p w:rsidR="00D676DD" w:rsidRPr="00512403" w:rsidP="0068273A" w14:paraId="2FDCB00D" w14:textId="77777777">
      <w:pPr>
        <w:jc w:val="center"/>
        <w:rPr>
          <w:b/>
          <w:sz w:val="16"/>
          <w:szCs w:val="16"/>
        </w:rPr>
      </w:pPr>
    </w:p>
    <w:p w:rsidR="00D676DD" w:rsidRPr="00512403" w:rsidP="0068273A" w14:paraId="2FDCB00E" w14:textId="77777777">
      <w:pPr>
        <w:jc w:val="center"/>
        <w:rPr>
          <w:b/>
          <w:sz w:val="16"/>
          <w:szCs w:val="16"/>
        </w:rPr>
      </w:pPr>
    </w:p>
    <w:p w:rsidR="00D676DD" w:rsidRPr="00512403" w:rsidP="0068273A" w14:paraId="2FDCB00F" w14:textId="77777777">
      <w:pPr>
        <w:jc w:val="center"/>
        <w:rPr>
          <w:b/>
          <w:sz w:val="16"/>
          <w:szCs w:val="16"/>
        </w:rPr>
      </w:pPr>
    </w:p>
    <w:p w:rsidR="00D676DD" w:rsidRPr="00512403" w:rsidP="0068273A" w14:paraId="2FDCB010" w14:textId="77777777">
      <w:pPr>
        <w:jc w:val="center"/>
        <w:rPr>
          <w:b/>
          <w:sz w:val="16"/>
          <w:szCs w:val="16"/>
        </w:rPr>
      </w:pPr>
    </w:p>
    <w:p w:rsidR="00D676DD" w:rsidRPr="00512403" w:rsidP="0068273A" w14:paraId="2FDCB011" w14:textId="77777777">
      <w:pPr>
        <w:jc w:val="center"/>
        <w:rPr>
          <w:b/>
          <w:sz w:val="16"/>
          <w:szCs w:val="16"/>
        </w:rPr>
      </w:pPr>
    </w:p>
    <w:p w:rsidR="00D676DD" w:rsidRPr="00512403" w:rsidP="0068273A" w14:paraId="2FDCB012" w14:textId="77777777">
      <w:pPr>
        <w:jc w:val="center"/>
        <w:rPr>
          <w:b/>
          <w:sz w:val="16"/>
          <w:szCs w:val="16"/>
        </w:rPr>
      </w:pPr>
    </w:p>
    <w:p w:rsidR="00D676DD" w:rsidRPr="00512403" w:rsidP="0068273A" w14:paraId="2FDCB013" w14:textId="77777777">
      <w:pPr>
        <w:jc w:val="center"/>
        <w:rPr>
          <w:b/>
          <w:sz w:val="16"/>
          <w:szCs w:val="16"/>
        </w:rPr>
      </w:pPr>
    </w:p>
    <w:p w:rsidR="00D676DD" w:rsidRPr="00512403" w:rsidP="0068273A" w14:paraId="2FDCB014" w14:textId="77777777">
      <w:pPr>
        <w:jc w:val="center"/>
        <w:rPr>
          <w:b/>
          <w:sz w:val="16"/>
          <w:szCs w:val="16"/>
        </w:rPr>
      </w:pPr>
    </w:p>
    <w:p w:rsidR="00D676DD" w:rsidRPr="00512403" w:rsidP="0068273A" w14:paraId="2FDCB015" w14:textId="77777777">
      <w:pPr>
        <w:jc w:val="center"/>
        <w:rPr>
          <w:b/>
          <w:sz w:val="16"/>
          <w:szCs w:val="16"/>
        </w:rPr>
      </w:pPr>
    </w:p>
    <w:p w:rsidR="00D676DD" w:rsidRPr="00512403" w:rsidP="0068273A" w14:paraId="2FDCB016" w14:textId="77777777">
      <w:pPr>
        <w:jc w:val="center"/>
        <w:rPr>
          <w:b/>
          <w:sz w:val="16"/>
          <w:szCs w:val="16"/>
        </w:rPr>
      </w:pPr>
    </w:p>
    <w:p w:rsidR="00D676DD" w:rsidRPr="00512403" w:rsidP="0068273A" w14:paraId="2FDCB017" w14:textId="77777777">
      <w:pPr>
        <w:jc w:val="center"/>
        <w:rPr>
          <w:b/>
          <w:sz w:val="16"/>
          <w:szCs w:val="16"/>
        </w:rPr>
      </w:pPr>
    </w:p>
    <w:p w:rsidR="00D676DD" w:rsidRPr="00512403" w:rsidP="0068273A" w14:paraId="2FDCB018" w14:textId="77777777">
      <w:pPr>
        <w:jc w:val="center"/>
        <w:rPr>
          <w:b/>
          <w:sz w:val="16"/>
          <w:szCs w:val="16"/>
        </w:rPr>
      </w:pPr>
    </w:p>
    <w:p w:rsidR="00D676DD" w:rsidRPr="00512403" w:rsidP="0068273A" w14:paraId="2FDCB019" w14:textId="77777777">
      <w:pPr>
        <w:jc w:val="center"/>
        <w:rPr>
          <w:b/>
          <w:sz w:val="16"/>
          <w:szCs w:val="16"/>
        </w:rPr>
      </w:pPr>
    </w:p>
    <w:p w:rsidR="00D676DD" w:rsidRPr="00512403" w:rsidP="0068273A" w14:paraId="2FDCB023" w14:textId="77777777">
      <w:pPr>
        <w:jc w:val="center"/>
        <w:rPr>
          <w:b/>
          <w:sz w:val="16"/>
          <w:szCs w:val="16"/>
        </w:rPr>
      </w:pPr>
    </w:p>
    <w:p w:rsidR="00D676DD" w:rsidRPr="00512403" w:rsidP="0068273A" w14:paraId="2FDCB024" w14:textId="77777777">
      <w:pPr>
        <w:jc w:val="center"/>
        <w:rPr>
          <w:b/>
          <w:sz w:val="16"/>
          <w:szCs w:val="16"/>
        </w:rPr>
      </w:pPr>
    </w:p>
    <w:p w:rsidR="00D676DD" w:rsidRPr="00512403" w:rsidP="0068273A" w14:paraId="2FDCB025" w14:textId="77777777">
      <w:pPr>
        <w:jc w:val="center"/>
        <w:rPr>
          <w:b/>
          <w:sz w:val="16"/>
          <w:szCs w:val="16"/>
        </w:rPr>
      </w:pPr>
    </w:p>
    <w:p w:rsidR="00D676DD" w:rsidRPr="00512403" w:rsidP="0068273A" w14:paraId="2FDCB026" w14:textId="77777777">
      <w:pPr>
        <w:jc w:val="center"/>
        <w:rPr>
          <w:b/>
          <w:sz w:val="16"/>
          <w:szCs w:val="16"/>
        </w:rPr>
      </w:pPr>
    </w:p>
    <w:p w:rsidR="00D676DD" w:rsidRPr="00512403" w:rsidP="0068273A" w14:paraId="2FDCB027" w14:textId="77777777">
      <w:pPr>
        <w:jc w:val="center"/>
        <w:rPr>
          <w:b/>
          <w:sz w:val="16"/>
          <w:szCs w:val="16"/>
        </w:rPr>
      </w:pPr>
    </w:p>
    <w:p w:rsidR="00D676DD" w:rsidRPr="00512403" w:rsidP="0068273A" w14:paraId="2FDCB028" w14:textId="77777777">
      <w:pPr>
        <w:jc w:val="center"/>
        <w:rPr>
          <w:b/>
          <w:sz w:val="16"/>
          <w:szCs w:val="16"/>
        </w:rPr>
      </w:pPr>
    </w:p>
    <w:p w:rsidR="00D676DD" w:rsidRPr="00512403" w:rsidP="0068273A" w14:paraId="2FDCB029" w14:textId="77777777">
      <w:pPr>
        <w:jc w:val="center"/>
        <w:rPr>
          <w:b/>
          <w:sz w:val="16"/>
          <w:szCs w:val="16"/>
        </w:rPr>
      </w:pPr>
    </w:p>
    <w:p w:rsidR="00D676DD" w:rsidRPr="00512403" w:rsidP="0068273A" w14:paraId="2FDCB02A" w14:textId="77777777">
      <w:pPr>
        <w:jc w:val="center"/>
        <w:rPr>
          <w:b/>
          <w:sz w:val="16"/>
          <w:szCs w:val="16"/>
        </w:rPr>
      </w:pPr>
    </w:p>
    <w:p w:rsidR="00D676DD" w:rsidRPr="00512403" w:rsidP="0068273A" w14:paraId="2FDCB02B" w14:textId="77777777">
      <w:pPr>
        <w:jc w:val="center"/>
        <w:rPr>
          <w:b/>
          <w:sz w:val="16"/>
          <w:szCs w:val="16"/>
        </w:rPr>
      </w:pPr>
    </w:p>
    <w:p w:rsidR="00D676DD" w:rsidRPr="00512403" w:rsidP="0068273A" w14:paraId="2FDCB02C" w14:textId="77777777">
      <w:pPr>
        <w:jc w:val="center"/>
        <w:rPr>
          <w:b/>
          <w:sz w:val="16"/>
          <w:szCs w:val="16"/>
        </w:rPr>
      </w:pPr>
    </w:p>
    <w:p w:rsidR="00D676DD" w:rsidRPr="00512403" w:rsidP="0068273A" w14:paraId="2FDCB02D" w14:textId="77777777">
      <w:pPr>
        <w:jc w:val="center"/>
        <w:rPr>
          <w:b/>
          <w:sz w:val="16"/>
          <w:szCs w:val="16"/>
        </w:rPr>
      </w:pPr>
    </w:p>
    <w:p w:rsidR="00F4394A" w:rsidRPr="00512403" w:rsidP="00F4394A" w14:paraId="2FDCB030" w14:textId="66D9C040">
      <w:pPr>
        <w:tabs>
          <w:tab w:val="left" w:pos="3807"/>
        </w:tabs>
        <w:rPr>
          <w:sz w:val="16"/>
          <w:szCs w:val="16"/>
        </w:rPr>
        <w:sectPr w:rsidSect="007640B9">
          <w:headerReference w:type="default" r:id="rId8"/>
          <w:footerReference w:type="default" r:id="rId9"/>
          <w:pgSz w:w="12242" w:h="20163" w:code="120"/>
          <w:pgMar w:top="1418" w:right="1469" w:bottom="1418" w:left="1701" w:header="1134" w:footer="1134" w:gutter="0"/>
          <w:cols w:space="708"/>
          <w:docGrid w:linePitch="360"/>
        </w:sectPr>
      </w:pPr>
      <w:r w:rsidRPr="00512403">
        <w:rPr>
          <w:sz w:val="16"/>
          <w:szCs w:val="16"/>
        </w:rPr>
        <w:tab/>
      </w:r>
    </w:p>
    <w:p w:rsidR="000C531B" w:rsidRPr="00512403" w:rsidP="000C531B" w14:paraId="2FDCB069" w14:textId="77777777">
      <w:pPr>
        <w:rPr>
          <w:rFonts w:cs="Arial"/>
          <w:bCs/>
          <w:sz w:val="16"/>
          <w:szCs w:val="16"/>
        </w:rPr>
      </w:pPr>
      <w:r w:rsidRPr="00512403">
        <w:rPr>
          <w:rFonts w:cs="Arial"/>
          <w:bCs/>
          <w:sz w:val="16"/>
          <w:szCs w:val="16"/>
        </w:rPr>
        <w:t>Las políticas de inversión a divulgar a los afiliados y al público en general, para cada tipo de fondo de pensiones obligatorias y para cada portafolio del fondo de cesantía deben contener como mínimo, la siguiente información:</w:t>
      </w:r>
    </w:p>
    <w:p w:rsidR="000C531B" w:rsidRPr="00512403" w:rsidP="000C531B" w14:paraId="2FDCB06A" w14:textId="77777777">
      <w:pPr>
        <w:rPr>
          <w:rFonts w:cs="Arial"/>
          <w:bCs/>
          <w:sz w:val="16"/>
          <w:szCs w:val="16"/>
        </w:rPr>
      </w:pPr>
    </w:p>
    <w:p w:rsidR="000C531B" w:rsidRPr="00512403" w:rsidP="00B66C2D" w14:paraId="2FDCB06B" w14:textId="2359691E">
      <w:pPr>
        <w:autoSpaceDE w:val="0"/>
        <w:autoSpaceDN w:val="0"/>
        <w:adjustRightInd w:val="0"/>
        <w:rPr>
          <w:rFonts w:eastAsia="Arial Unicode MS" w:cs="Arial"/>
          <w:sz w:val="16"/>
          <w:szCs w:val="16"/>
        </w:rPr>
      </w:pPr>
      <w:r w:rsidRPr="00512403">
        <w:rPr>
          <w:rFonts w:cs="Arial"/>
          <w:sz w:val="16"/>
          <w:szCs w:val="16"/>
        </w:rPr>
        <w:t>2.1.1.1. Objetivos de cada uno de los tipos de fondos de pensiones y de los portafolios del fondo de cesantía, teniendo en cuenta su perfil de riesgo, su horizonte de inversión, y el perfil de inversión de los afiliados de cada uno de los fondos. La entidad debe describir de manera clara la consistencia entre los objetivos del fondo y los factores antes mencionados, así como la metodología utilizada para establecerlos.</w:t>
      </w:r>
    </w:p>
    <w:p w:rsidR="000C531B" w:rsidP="000C531B" w14:paraId="2FDCB06C" w14:textId="3CC2D210">
      <w:pPr>
        <w:tabs>
          <w:tab w:val="num" w:pos="360"/>
          <w:tab w:val="num" w:pos="540"/>
        </w:tabs>
        <w:autoSpaceDE w:val="0"/>
        <w:autoSpaceDN w:val="0"/>
        <w:adjustRightInd w:val="0"/>
        <w:ind w:left="540" w:hanging="540"/>
        <w:rPr>
          <w:rFonts w:eastAsia="Arial Unicode MS" w:cs="Arial"/>
          <w:b/>
          <w:sz w:val="16"/>
          <w:szCs w:val="16"/>
        </w:rPr>
      </w:pPr>
    </w:p>
    <w:p w:rsidR="000C531B" w:rsidRPr="00512403" w:rsidP="00846F12" w14:paraId="2FDCB06D" w14:textId="3B02E5DD">
      <w:pPr>
        <w:pBdr>
          <w:left w:val="single" w:sz="4" w:space="4" w:color="auto"/>
        </w:pBdr>
        <w:rPr>
          <w:rFonts w:cs="Arial"/>
          <w:b/>
          <w:bCs/>
          <w:sz w:val="16"/>
          <w:szCs w:val="16"/>
        </w:rPr>
      </w:pPr>
      <w:r w:rsidRPr="00512403">
        <w:rPr>
          <w:rFonts w:cs="Arial"/>
          <w:sz w:val="16"/>
          <w:szCs w:val="16"/>
        </w:rPr>
        <w:t>2.1.1.2. Estructura organizacional para la gestión de inversiones y administración de sus riesgos (áreas que participan con sus principales funciones y facultades, entre otros)</w:t>
      </w:r>
      <w:r w:rsidRPr="00512403" w:rsidR="00AF0A1B">
        <w:rPr>
          <w:rFonts w:cs="Arial"/>
          <w:sz w:val="16"/>
          <w:szCs w:val="16"/>
        </w:rPr>
        <w:t xml:space="preserve">, </w:t>
      </w:r>
      <w:r w:rsidRPr="00512403" w:rsidR="00AF0A1B">
        <w:rPr>
          <w:rFonts w:cs="Arial"/>
          <w:b/>
          <w:bCs/>
          <w:sz w:val="16"/>
          <w:szCs w:val="16"/>
        </w:rPr>
        <w:t>incluido</w:t>
      </w:r>
      <w:r w:rsidRPr="00512403" w:rsidR="00DB76CD">
        <w:rPr>
          <w:rFonts w:cs="Arial"/>
          <w:b/>
          <w:bCs/>
          <w:sz w:val="16"/>
          <w:szCs w:val="16"/>
        </w:rPr>
        <w:t>s</w:t>
      </w:r>
      <w:r w:rsidRPr="00512403" w:rsidR="00AF0A1B">
        <w:rPr>
          <w:rFonts w:cs="Arial"/>
          <w:b/>
          <w:bCs/>
          <w:sz w:val="16"/>
          <w:szCs w:val="16"/>
        </w:rPr>
        <w:t xml:space="preserve"> los roles y</w:t>
      </w:r>
      <w:r w:rsidRPr="00512403" w:rsidR="006B22F4">
        <w:rPr>
          <w:rFonts w:cs="Arial"/>
          <w:b/>
          <w:bCs/>
          <w:sz w:val="16"/>
          <w:szCs w:val="16"/>
        </w:rPr>
        <w:t>/o</w:t>
      </w:r>
      <w:r w:rsidRPr="00512403" w:rsidR="00AF0A1B">
        <w:rPr>
          <w:rFonts w:cs="Arial"/>
          <w:b/>
          <w:bCs/>
          <w:sz w:val="16"/>
          <w:szCs w:val="16"/>
        </w:rPr>
        <w:t xml:space="preserve"> responsabilidades para la gestión de los riesgos </w:t>
      </w:r>
      <w:r w:rsidRPr="00512403" w:rsidR="00DB3800">
        <w:rPr>
          <w:rFonts w:cs="Arial"/>
          <w:b/>
          <w:bCs/>
          <w:sz w:val="16"/>
          <w:szCs w:val="16"/>
        </w:rPr>
        <w:t xml:space="preserve">ambientales, sociales y de gobierno corporativo </w:t>
      </w:r>
      <w:r w:rsidR="00D45B30">
        <w:rPr>
          <w:rFonts w:cs="Arial"/>
          <w:b/>
          <w:bCs/>
          <w:sz w:val="16"/>
          <w:szCs w:val="16"/>
        </w:rPr>
        <w:t>(</w:t>
      </w:r>
      <w:r w:rsidRPr="00512403" w:rsidR="00AF0A1B">
        <w:rPr>
          <w:rFonts w:cs="Arial"/>
          <w:b/>
          <w:bCs/>
          <w:sz w:val="16"/>
          <w:szCs w:val="16"/>
        </w:rPr>
        <w:t>ASG</w:t>
      </w:r>
      <w:r w:rsidR="00D45B30">
        <w:rPr>
          <w:rFonts w:cs="Arial"/>
          <w:b/>
          <w:bCs/>
          <w:sz w:val="16"/>
          <w:szCs w:val="16"/>
        </w:rPr>
        <w:t>)</w:t>
      </w:r>
      <w:r w:rsidRPr="00512403" w:rsidR="00AF0A1B">
        <w:rPr>
          <w:rFonts w:cs="Arial"/>
          <w:b/>
          <w:bCs/>
          <w:sz w:val="16"/>
          <w:szCs w:val="16"/>
        </w:rPr>
        <w:t xml:space="preserve"> y climátic</w:t>
      </w:r>
      <w:r w:rsidRPr="00512403" w:rsidR="006B22F4">
        <w:rPr>
          <w:rFonts w:cs="Arial"/>
          <w:b/>
          <w:bCs/>
          <w:sz w:val="16"/>
          <w:szCs w:val="16"/>
        </w:rPr>
        <w:t>o</w:t>
      </w:r>
      <w:r w:rsidRPr="00512403" w:rsidR="00AF0A1B">
        <w:rPr>
          <w:rFonts w:cs="Arial"/>
          <w:b/>
          <w:bCs/>
          <w:sz w:val="16"/>
          <w:szCs w:val="16"/>
        </w:rPr>
        <w:t>s</w:t>
      </w:r>
      <w:r w:rsidRPr="00512403" w:rsidR="004168F8">
        <w:rPr>
          <w:rFonts w:cs="Arial"/>
          <w:b/>
          <w:bCs/>
          <w:sz w:val="16"/>
          <w:szCs w:val="16"/>
        </w:rPr>
        <w:t>.</w:t>
      </w:r>
    </w:p>
    <w:p w:rsidR="00173C14" w:rsidRPr="00512403" w:rsidP="00846F12" w14:paraId="1D42839E" w14:textId="1BC016F9">
      <w:pPr>
        <w:pBdr>
          <w:left w:val="single" w:sz="4" w:space="4" w:color="auto"/>
        </w:pBdr>
        <w:rPr>
          <w:rFonts w:cs="Arial"/>
          <w:b/>
          <w:bCs/>
          <w:sz w:val="16"/>
          <w:szCs w:val="16"/>
        </w:rPr>
      </w:pPr>
    </w:p>
    <w:p w:rsidR="00173C14" w:rsidRPr="00512403" w:rsidP="00846F12" w14:paraId="333E0861" w14:textId="56DE7FAC">
      <w:pPr>
        <w:pBdr>
          <w:left w:val="single" w:sz="4" w:space="4" w:color="auto"/>
        </w:pBdr>
        <w:rPr>
          <w:rFonts w:cs="Arial"/>
          <w:b/>
          <w:bCs/>
          <w:sz w:val="16"/>
          <w:szCs w:val="16"/>
        </w:rPr>
      </w:pPr>
      <w:r w:rsidRPr="00512403">
        <w:rPr>
          <w:rFonts w:cs="Arial"/>
          <w:b/>
          <w:bCs/>
          <w:sz w:val="16"/>
          <w:szCs w:val="16"/>
        </w:rPr>
        <w:t xml:space="preserve">2.1.1.2.1. </w:t>
      </w:r>
      <w:r w:rsidRPr="00512403" w:rsidR="005A7486">
        <w:rPr>
          <w:rFonts w:cs="Arial"/>
          <w:b/>
          <w:bCs/>
          <w:sz w:val="16"/>
          <w:szCs w:val="16"/>
        </w:rPr>
        <w:t xml:space="preserve">La estructura organizacional debe contar con un </w:t>
      </w:r>
      <w:r w:rsidRPr="00512403" w:rsidR="00CA0C6E">
        <w:rPr>
          <w:rFonts w:cs="Arial"/>
          <w:b/>
          <w:bCs/>
          <w:sz w:val="16"/>
          <w:szCs w:val="16"/>
        </w:rPr>
        <w:t>comité de riesgos y un comité de inversiones, los cuales debe</w:t>
      </w:r>
      <w:r w:rsidRPr="00512403" w:rsidR="0001202C">
        <w:rPr>
          <w:rFonts w:cs="Arial"/>
          <w:b/>
          <w:bCs/>
          <w:sz w:val="16"/>
          <w:szCs w:val="16"/>
        </w:rPr>
        <w:t>n</w:t>
      </w:r>
      <w:r w:rsidRPr="00512403" w:rsidR="00CA0C6E">
        <w:rPr>
          <w:rFonts w:cs="Arial"/>
          <w:b/>
          <w:bCs/>
          <w:sz w:val="16"/>
          <w:szCs w:val="16"/>
        </w:rPr>
        <w:t xml:space="preserve"> cumplir los requisitos de conformación y funcionamiento definidos en el </w:t>
      </w:r>
      <w:r w:rsidRPr="00512403" w:rsidR="00D97A7A">
        <w:rPr>
          <w:rFonts w:cs="Arial"/>
          <w:b/>
          <w:bCs/>
          <w:sz w:val="16"/>
          <w:szCs w:val="16"/>
        </w:rPr>
        <w:t xml:space="preserve">subnumeral 2.2.1 del </w:t>
      </w:r>
      <w:r w:rsidRPr="00512403" w:rsidR="0001202C">
        <w:rPr>
          <w:rFonts w:cs="Arial"/>
          <w:b/>
          <w:bCs/>
          <w:sz w:val="16"/>
          <w:szCs w:val="16"/>
        </w:rPr>
        <w:t>p</w:t>
      </w:r>
      <w:r w:rsidRPr="00512403" w:rsidR="00D97A7A">
        <w:rPr>
          <w:rFonts w:cs="Arial"/>
          <w:b/>
          <w:bCs/>
          <w:sz w:val="16"/>
          <w:szCs w:val="16"/>
        </w:rPr>
        <w:t>resente Cap</w:t>
      </w:r>
      <w:r w:rsidRPr="00512403" w:rsidR="00CC6C99">
        <w:rPr>
          <w:rFonts w:cs="Arial"/>
          <w:b/>
          <w:bCs/>
          <w:sz w:val="16"/>
          <w:szCs w:val="16"/>
        </w:rPr>
        <w:t>í</w:t>
      </w:r>
      <w:r w:rsidRPr="00512403" w:rsidR="00D97A7A">
        <w:rPr>
          <w:rFonts w:cs="Arial"/>
          <w:b/>
          <w:bCs/>
          <w:sz w:val="16"/>
          <w:szCs w:val="16"/>
        </w:rPr>
        <w:t>tulo.</w:t>
      </w:r>
    </w:p>
    <w:p w:rsidR="00BD02C6" w:rsidRPr="00512403" w:rsidP="00846F12" w14:paraId="27AF5F15" w14:textId="0DDF7C8D">
      <w:pPr>
        <w:pBdr>
          <w:left w:val="single" w:sz="4" w:space="4" w:color="auto"/>
        </w:pBdr>
        <w:rPr>
          <w:rFonts w:cs="Arial"/>
          <w:b/>
          <w:bCs/>
          <w:sz w:val="16"/>
          <w:szCs w:val="16"/>
        </w:rPr>
      </w:pPr>
    </w:p>
    <w:p w:rsidR="00811F1A" w:rsidP="00846F12" w14:paraId="722BC41E" w14:textId="77777777">
      <w:pPr>
        <w:pBdr>
          <w:left w:val="single" w:sz="4" w:space="4" w:color="auto"/>
        </w:pBdr>
        <w:rPr>
          <w:rFonts w:cs="Arial"/>
          <w:b/>
          <w:bCs/>
          <w:sz w:val="16"/>
          <w:szCs w:val="16"/>
        </w:rPr>
      </w:pPr>
      <w:r w:rsidRPr="00512403">
        <w:rPr>
          <w:rFonts w:cs="Arial"/>
          <w:b/>
          <w:bCs/>
          <w:sz w:val="16"/>
          <w:szCs w:val="16"/>
        </w:rPr>
        <w:t>2.1.1.2.2. La</w:t>
      </w:r>
      <w:r w:rsidR="0063626E">
        <w:rPr>
          <w:rFonts w:cs="Arial"/>
          <w:b/>
          <w:bCs/>
          <w:sz w:val="16"/>
          <w:szCs w:val="16"/>
        </w:rPr>
        <w:t>s</w:t>
      </w:r>
      <w:r w:rsidRPr="00512403">
        <w:rPr>
          <w:rFonts w:cs="Arial"/>
          <w:b/>
          <w:bCs/>
          <w:sz w:val="16"/>
          <w:szCs w:val="16"/>
        </w:rPr>
        <w:t xml:space="preserve"> política</w:t>
      </w:r>
      <w:r w:rsidR="0063626E">
        <w:rPr>
          <w:rFonts w:cs="Arial"/>
          <w:b/>
          <w:bCs/>
          <w:sz w:val="16"/>
          <w:szCs w:val="16"/>
        </w:rPr>
        <w:t>s</w:t>
      </w:r>
      <w:r w:rsidRPr="00512403">
        <w:rPr>
          <w:rFonts w:cs="Arial"/>
          <w:b/>
          <w:bCs/>
          <w:sz w:val="16"/>
          <w:szCs w:val="16"/>
        </w:rPr>
        <w:t xml:space="preserve"> de inversi</w:t>
      </w:r>
      <w:r w:rsidR="0063626E">
        <w:rPr>
          <w:rFonts w:cs="Arial"/>
          <w:b/>
          <w:bCs/>
          <w:sz w:val="16"/>
          <w:szCs w:val="16"/>
        </w:rPr>
        <w:t>ón</w:t>
      </w:r>
      <w:r w:rsidRPr="00512403">
        <w:rPr>
          <w:rFonts w:cs="Arial"/>
          <w:b/>
          <w:bCs/>
          <w:sz w:val="16"/>
          <w:szCs w:val="16"/>
        </w:rPr>
        <w:t xml:space="preserve"> debe</w:t>
      </w:r>
      <w:r w:rsidR="005E7913">
        <w:rPr>
          <w:rFonts w:cs="Arial"/>
          <w:b/>
          <w:bCs/>
          <w:sz w:val="16"/>
          <w:szCs w:val="16"/>
        </w:rPr>
        <w:t>n</w:t>
      </w:r>
      <w:r w:rsidRPr="00512403">
        <w:rPr>
          <w:rFonts w:cs="Arial"/>
          <w:b/>
          <w:bCs/>
          <w:sz w:val="16"/>
          <w:szCs w:val="16"/>
        </w:rPr>
        <w:t xml:space="preserve"> incluir la </w:t>
      </w:r>
      <w:r w:rsidRPr="00512403" w:rsidR="00E50514">
        <w:rPr>
          <w:rFonts w:cs="Arial"/>
          <w:b/>
          <w:bCs/>
          <w:sz w:val="16"/>
          <w:szCs w:val="16"/>
        </w:rPr>
        <w:t>definición</w:t>
      </w:r>
      <w:r w:rsidRPr="00512403">
        <w:rPr>
          <w:rFonts w:cs="Arial"/>
          <w:b/>
          <w:bCs/>
          <w:sz w:val="16"/>
          <w:szCs w:val="16"/>
        </w:rPr>
        <w:t xml:space="preserve"> de las</w:t>
      </w:r>
      <w:r w:rsidRPr="00512403" w:rsidR="00E50514">
        <w:rPr>
          <w:rFonts w:cs="Arial"/>
          <w:b/>
          <w:bCs/>
          <w:sz w:val="16"/>
          <w:szCs w:val="16"/>
        </w:rPr>
        <w:t xml:space="preserve"> responsabilidades </w:t>
      </w:r>
      <w:r w:rsidRPr="00512403" w:rsidR="002A1224">
        <w:rPr>
          <w:rFonts w:cs="Arial"/>
          <w:b/>
          <w:bCs/>
          <w:sz w:val="16"/>
          <w:szCs w:val="16"/>
        </w:rPr>
        <w:t>y las funciones</w:t>
      </w:r>
      <w:r w:rsidRPr="00512403" w:rsidR="005E0505">
        <w:rPr>
          <w:rFonts w:cs="Arial"/>
          <w:b/>
          <w:bCs/>
          <w:sz w:val="16"/>
          <w:szCs w:val="16"/>
        </w:rPr>
        <w:t xml:space="preserve"> </w:t>
      </w:r>
      <w:r w:rsidRPr="00512403" w:rsidR="0052583B">
        <w:rPr>
          <w:rFonts w:cs="Arial"/>
          <w:b/>
          <w:bCs/>
          <w:sz w:val="16"/>
          <w:szCs w:val="16"/>
        </w:rPr>
        <w:t xml:space="preserve">en materia </w:t>
      </w:r>
      <w:r w:rsidRPr="00512403" w:rsidR="005E0505">
        <w:rPr>
          <w:rFonts w:cs="Arial"/>
          <w:b/>
          <w:bCs/>
          <w:sz w:val="16"/>
          <w:szCs w:val="16"/>
        </w:rPr>
        <w:t>de estrategia y seguimiento a</w:t>
      </w:r>
      <w:r w:rsidRPr="00512403" w:rsidR="00D31602">
        <w:rPr>
          <w:rFonts w:cs="Arial"/>
          <w:b/>
          <w:bCs/>
          <w:sz w:val="16"/>
          <w:szCs w:val="16"/>
        </w:rPr>
        <w:t xml:space="preserve"> cargo de</w:t>
      </w:r>
      <w:r w:rsidR="005E7913">
        <w:rPr>
          <w:rFonts w:cs="Arial"/>
          <w:b/>
          <w:bCs/>
          <w:sz w:val="16"/>
          <w:szCs w:val="16"/>
        </w:rPr>
        <w:t xml:space="preserve"> cada uno de los comités. </w:t>
      </w:r>
    </w:p>
    <w:p w:rsidR="00811F1A" w:rsidP="00846F12" w14:paraId="38768848" w14:textId="77777777">
      <w:pPr>
        <w:pBdr>
          <w:left w:val="single" w:sz="4" w:space="4" w:color="auto"/>
        </w:pBdr>
        <w:rPr>
          <w:rFonts w:cs="Arial"/>
          <w:b/>
          <w:bCs/>
          <w:sz w:val="16"/>
          <w:szCs w:val="16"/>
        </w:rPr>
      </w:pPr>
    </w:p>
    <w:p w:rsidR="00BD02C6" w:rsidRPr="00512403" w:rsidP="00846F12" w14:paraId="51B9F17B" w14:textId="25BA64CD">
      <w:pPr>
        <w:pBdr>
          <w:left w:val="single" w:sz="4" w:space="4" w:color="auto"/>
        </w:pBdr>
        <w:rPr>
          <w:rFonts w:cs="Arial"/>
          <w:b/>
          <w:bCs/>
          <w:sz w:val="16"/>
          <w:szCs w:val="16"/>
        </w:rPr>
      </w:pPr>
      <w:r>
        <w:rPr>
          <w:rFonts w:cs="Arial"/>
          <w:b/>
          <w:bCs/>
          <w:sz w:val="16"/>
          <w:szCs w:val="16"/>
        </w:rPr>
        <w:t>Dentro de las funciones asignadas al comité a</w:t>
      </w:r>
      <w:r w:rsidRPr="00512403" w:rsidR="00D31602">
        <w:rPr>
          <w:rFonts w:cs="Arial"/>
          <w:b/>
          <w:bCs/>
          <w:sz w:val="16"/>
          <w:szCs w:val="16"/>
        </w:rPr>
        <w:t>l</w:t>
      </w:r>
      <w:r w:rsidRPr="00512403">
        <w:rPr>
          <w:rFonts w:cs="Arial"/>
          <w:b/>
          <w:bCs/>
          <w:sz w:val="16"/>
          <w:szCs w:val="16"/>
        </w:rPr>
        <w:t xml:space="preserve"> comité de inversiones </w:t>
      </w:r>
      <w:r w:rsidR="0004021A">
        <w:rPr>
          <w:rFonts w:cs="Arial"/>
          <w:b/>
          <w:bCs/>
          <w:sz w:val="16"/>
          <w:szCs w:val="16"/>
        </w:rPr>
        <w:t>o</w:t>
      </w:r>
      <w:r>
        <w:rPr>
          <w:rFonts w:cs="Arial"/>
          <w:b/>
          <w:bCs/>
          <w:sz w:val="16"/>
          <w:szCs w:val="16"/>
        </w:rPr>
        <w:t xml:space="preserve"> a</w:t>
      </w:r>
      <w:r w:rsidRPr="00512403" w:rsidR="00D31602">
        <w:rPr>
          <w:rFonts w:cs="Arial"/>
          <w:b/>
          <w:bCs/>
          <w:sz w:val="16"/>
          <w:szCs w:val="16"/>
        </w:rPr>
        <w:t xml:space="preserve">l </w:t>
      </w:r>
      <w:r w:rsidRPr="00512403">
        <w:rPr>
          <w:rFonts w:cs="Arial"/>
          <w:b/>
          <w:bCs/>
          <w:sz w:val="16"/>
          <w:szCs w:val="16"/>
        </w:rPr>
        <w:t>comité de riesgos</w:t>
      </w:r>
      <w:r w:rsidR="00D16D96">
        <w:rPr>
          <w:rFonts w:cs="Arial"/>
          <w:b/>
          <w:bCs/>
          <w:sz w:val="16"/>
          <w:szCs w:val="16"/>
        </w:rPr>
        <w:t xml:space="preserve">, </w:t>
      </w:r>
      <w:r>
        <w:rPr>
          <w:rFonts w:cs="Arial"/>
          <w:b/>
          <w:bCs/>
          <w:sz w:val="16"/>
          <w:szCs w:val="16"/>
        </w:rPr>
        <w:t>se deben contemplar como</w:t>
      </w:r>
      <w:r w:rsidR="008764D9">
        <w:rPr>
          <w:rFonts w:cs="Arial"/>
          <w:b/>
          <w:bCs/>
          <w:sz w:val="16"/>
          <w:szCs w:val="16"/>
        </w:rPr>
        <w:t xml:space="preserve"> mínimo </w:t>
      </w:r>
      <w:r w:rsidRPr="00512403" w:rsidR="00083DA7">
        <w:rPr>
          <w:rFonts w:cs="Arial"/>
          <w:b/>
          <w:bCs/>
          <w:sz w:val="16"/>
          <w:szCs w:val="16"/>
        </w:rPr>
        <w:t xml:space="preserve">las </w:t>
      </w:r>
      <w:r>
        <w:rPr>
          <w:rFonts w:cs="Arial"/>
          <w:b/>
          <w:bCs/>
          <w:sz w:val="16"/>
          <w:szCs w:val="16"/>
        </w:rPr>
        <w:t>siguientes</w:t>
      </w:r>
      <w:r w:rsidRPr="00512403" w:rsidR="00083DA7">
        <w:rPr>
          <w:rFonts w:cs="Arial"/>
          <w:b/>
          <w:bCs/>
          <w:sz w:val="16"/>
          <w:szCs w:val="16"/>
        </w:rPr>
        <w:t>:</w:t>
      </w:r>
    </w:p>
    <w:p w:rsidR="00CA1C42" w:rsidRPr="00512403" w:rsidP="00846F12" w14:paraId="4EAAA05D" w14:textId="02D6E8A7">
      <w:pPr>
        <w:pBdr>
          <w:left w:val="single" w:sz="4" w:space="4" w:color="auto"/>
        </w:pBdr>
        <w:rPr>
          <w:rFonts w:cs="Arial"/>
          <w:b/>
          <w:bCs/>
          <w:sz w:val="16"/>
          <w:szCs w:val="16"/>
        </w:rPr>
      </w:pPr>
    </w:p>
    <w:p w:rsidR="00CA1C42" w:rsidRPr="00512403" w:rsidP="00846F12" w14:paraId="09A8127B" w14:textId="27F60013">
      <w:pPr>
        <w:pBdr>
          <w:left w:val="single" w:sz="4" w:space="4" w:color="auto"/>
        </w:pBdr>
        <w:rPr>
          <w:rFonts w:cs="Arial"/>
          <w:b/>
          <w:bCs/>
          <w:sz w:val="16"/>
          <w:szCs w:val="16"/>
        </w:rPr>
      </w:pPr>
      <w:r w:rsidRPr="00512403">
        <w:rPr>
          <w:rFonts w:cs="Arial"/>
          <w:b/>
          <w:bCs/>
          <w:sz w:val="16"/>
          <w:szCs w:val="16"/>
        </w:rPr>
        <w:t>2.1.1.2.2.1.</w:t>
      </w:r>
      <w:r w:rsidRPr="00512403" w:rsidR="00E05ED0">
        <w:rPr>
          <w:rFonts w:cs="Arial"/>
          <w:b/>
          <w:bCs/>
          <w:sz w:val="16"/>
          <w:szCs w:val="16"/>
        </w:rPr>
        <w:t xml:space="preserve"> Proponer a la junta directiva las políticas para la </w:t>
      </w:r>
      <w:r w:rsidRPr="00512403" w:rsidR="006521F4">
        <w:rPr>
          <w:rFonts w:cs="Arial"/>
          <w:b/>
          <w:bCs/>
          <w:sz w:val="16"/>
          <w:szCs w:val="16"/>
        </w:rPr>
        <w:t>definición</w:t>
      </w:r>
      <w:r w:rsidRPr="00512403" w:rsidR="00E05ED0">
        <w:rPr>
          <w:rFonts w:cs="Arial"/>
          <w:b/>
          <w:bCs/>
          <w:sz w:val="16"/>
          <w:szCs w:val="16"/>
        </w:rPr>
        <w:t xml:space="preserve"> y seguimiento</w:t>
      </w:r>
      <w:r w:rsidRPr="00512403" w:rsidR="004902D6">
        <w:rPr>
          <w:rFonts w:cs="Arial"/>
          <w:b/>
          <w:bCs/>
          <w:sz w:val="16"/>
          <w:szCs w:val="16"/>
        </w:rPr>
        <w:t xml:space="preserve"> del proceso de inversiones </w:t>
      </w:r>
      <w:r w:rsidRPr="00512403" w:rsidR="00B611EF">
        <w:rPr>
          <w:rFonts w:cs="Arial"/>
          <w:b/>
          <w:bCs/>
          <w:sz w:val="16"/>
          <w:szCs w:val="16"/>
        </w:rPr>
        <w:t>en las fases</w:t>
      </w:r>
      <w:r w:rsidRPr="00512403" w:rsidR="004902D6">
        <w:rPr>
          <w:rFonts w:cs="Arial"/>
          <w:b/>
          <w:bCs/>
          <w:sz w:val="16"/>
          <w:szCs w:val="16"/>
        </w:rPr>
        <w:t xml:space="preserve"> estratégic</w:t>
      </w:r>
      <w:r w:rsidRPr="00512403" w:rsidR="00112FD8">
        <w:rPr>
          <w:rFonts w:cs="Arial"/>
          <w:b/>
          <w:bCs/>
          <w:sz w:val="16"/>
          <w:szCs w:val="16"/>
        </w:rPr>
        <w:t>a</w:t>
      </w:r>
      <w:r w:rsidRPr="00512403" w:rsidR="004902D6">
        <w:rPr>
          <w:rFonts w:cs="Arial"/>
          <w:b/>
          <w:bCs/>
          <w:sz w:val="16"/>
          <w:szCs w:val="16"/>
        </w:rPr>
        <w:t>, táctic</w:t>
      </w:r>
      <w:r w:rsidRPr="00512403" w:rsidR="00112FD8">
        <w:rPr>
          <w:rFonts w:cs="Arial"/>
          <w:b/>
          <w:bCs/>
          <w:sz w:val="16"/>
          <w:szCs w:val="16"/>
        </w:rPr>
        <w:t>a</w:t>
      </w:r>
      <w:r w:rsidRPr="00512403" w:rsidR="0065452D">
        <w:rPr>
          <w:rFonts w:cs="Arial"/>
          <w:b/>
          <w:bCs/>
          <w:sz w:val="16"/>
          <w:szCs w:val="16"/>
        </w:rPr>
        <w:t>,</w:t>
      </w:r>
      <w:r w:rsidRPr="00512403" w:rsidR="004902D6">
        <w:rPr>
          <w:rFonts w:cs="Arial"/>
          <w:b/>
          <w:bCs/>
          <w:sz w:val="16"/>
          <w:szCs w:val="16"/>
        </w:rPr>
        <w:t xml:space="preserve"> de selección de activos y </w:t>
      </w:r>
      <w:r w:rsidRPr="00512403" w:rsidR="0065452D">
        <w:rPr>
          <w:rFonts w:cs="Arial"/>
          <w:b/>
          <w:bCs/>
          <w:sz w:val="16"/>
          <w:szCs w:val="16"/>
        </w:rPr>
        <w:t xml:space="preserve">de </w:t>
      </w:r>
      <w:r w:rsidRPr="00512403" w:rsidR="004902D6">
        <w:rPr>
          <w:rFonts w:cs="Arial"/>
          <w:b/>
          <w:bCs/>
          <w:sz w:val="16"/>
          <w:szCs w:val="16"/>
        </w:rPr>
        <w:t>ejecución</w:t>
      </w:r>
      <w:r w:rsidRPr="00512403" w:rsidR="00B46FE1">
        <w:rPr>
          <w:rFonts w:cs="Arial"/>
          <w:b/>
          <w:bCs/>
          <w:sz w:val="16"/>
          <w:szCs w:val="16"/>
        </w:rPr>
        <w:t>,</w:t>
      </w:r>
      <w:r w:rsidRPr="00512403" w:rsidR="00112FD8">
        <w:rPr>
          <w:rFonts w:cs="Arial"/>
          <w:b/>
          <w:bCs/>
          <w:sz w:val="16"/>
          <w:szCs w:val="16"/>
        </w:rPr>
        <w:t xml:space="preserve"> </w:t>
      </w:r>
      <w:r w:rsidRPr="00512403" w:rsidR="00B46FE1">
        <w:rPr>
          <w:rFonts w:cs="Arial"/>
          <w:b/>
          <w:bCs/>
          <w:sz w:val="16"/>
          <w:szCs w:val="16"/>
        </w:rPr>
        <w:t>o las que hayan definido internamente para el proceso de inversiones.</w:t>
      </w:r>
      <w:r w:rsidRPr="00512403" w:rsidR="004902D6">
        <w:rPr>
          <w:rFonts w:cs="Arial"/>
          <w:b/>
          <w:bCs/>
          <w:sz w:val="16"/>
          <w:szCs w:val="16"/>
        </w:rPr>
        <w:t xml:space="preserve"> </w:t>
      </w:r>
      <w:r w:rsidRPr="00512403" w:rsidR="004D7B4C">
        <w:rPr>
          <w:rFonts w:cs="Arial"/>
          <w:b/>
          <w:bCs/>
          <w:sz w:val="16"/>
          <w:szCs w:val="16"/>
        </w:rPr>
        <w:t xml:space="preserve">Estas políticas deben </w:t>
      </w:r>
      <w:r w:rsidRPr="00512403" w:rsidR="00162DF4">
        <w:rPr>
          <w:rFonts w:cs="Arial"/>
          <w:b/>
          <w:bCs/>
          <w:sz w:val="16"/>
          <w:szCs w:val="16"/>
        </w:rPr>
        <w:t xml:space="preserve">estar </w:t>
      </w:r>
      <w:r w:rsidRPr="00512403" w:rsidR="000F543A">
        <w:rPr>
          <w:rFonts w:cs="Arial"/>
          <w:b/>
          <w:bCs/>
          <w:sz w:val="16"/>
          <w:szCs w:val="16"/>
        </w:rPr>
        <w:t xml:space="preserve">soportadas en análisis </w:t>
      </w:r>
      <w:r w:rsidRPr="00512403" w:rsidR="00A043B9">
        <w:rPr>
          <w:rFonts w:cs="Arial"/>
          <w:b/>
          <w:bCs/>
          <w:sz w:val="16"/>
          <w:szCs w:val="16"/>
        </w:rPr>
        <w:t>técnicos que incorporen medidas y evaluaciones de riesgo-retorno.</w:t>
      </w:r>
    </w:p>
    <w:p w:rsidR="000E4C1F" w:rsidRPr="00512403" w:rsidP="00846F12" w14:paraId="31EF0A9E" w14:textId="3A7712E9">
      <w:pPr>
        <w:pBdr>
          <w:left w:val="single" w:sz="4" w:space="4" w:color="auto"/>
        </w:pBdr>
        <w:rPr>
          <w:rFonts w:cs="Arial"/>
          <w:b/>
          <w:bCs/>
          <w:sz w:val="16"/>
          <w:szCs w:val="16"/>
        </w:rPr>
      </w:pPr>
    </w:p>
    <w:p w:rsidR="002A5145" w:rsidRPr="00512403" w:rsidP="00846F12" w14:paraId="02EA06A4" w14:textId="42CBDB45">
      <w:pPr>
        <w:pBdr>
          <w:left w:val="single" w:sz="4" w:space="4" w:color="auto"/>
        </w:pBdr>
        <w:rPr>
          <w:rFonts w:cs="Arial"/>
          <w:b/>
          <w:bCs/>
          <w:sz w:val="16"/>
          <w:szCs w:val="16"/>
        </w:rPr>
      </w:pPr>
      <w:r w:rsidRPr="00512403">
        <w:rPr>
          <w:rFonts w:cs="Arial"/>
          <w:b/>
          <w:bCs/>
          <w:sz w:val="16"/>
          <w:szCs w:val="16"/>
        </w:rPr>
        <w:t xml:space="preserve">2.1.1.2.2.2. Definir y aprobar las </w:t>
      </w:r>
      <w:r w:rsidRPr="00512403" w:rsidR="00A72B6B">
        <w:rPr>
          <w:rFonts w:cs="Arial"/>
          <w:b/>
          <w:bCs/>
          <w:sz w:val="16"/>
          <w:szCs w:val="16"/>
        </w:rPr>
        <w:t>metodologías</w:t>
      </w:r>
      <w:r w:rsidRPr="00512403" w:rsidR="004B7F0E">
        <w:rPr>
          <w:rFonts w:cs="Arial"/>
          <w:b/>
          <w:bCs/>
          <w:sz w:val="16"/>
          <w:szCs w:val="16"/>
        </w:rPr>
        <w:t xml:space="preserve"> específicas</w:t>
      </w:r>
      <w:r w:rsidRPr="00512403">
        <w:rPr>
          <w:rFonts w:cs="Arial"/>
          <w:b/>
          <w:bCs/>
          <w:sz w:val="16"/>
          <w:szCs w:val="16"/>
        </w:rPr>
        <w:t xml:space="preserve"> para la </w:t>
      </w:r>
      <w:r w:rsidRPr="00512403" w:rsidR="004B7F0E">
        <w:rPr>
          <w:rFonts w:cs="Arial"/>
          <w:b/>
          <w:bCs/>
          <w:sz w:val="16"/>
          <w:szCs w:val="16"/>
        </w:rPr>
        <w:t>definición</w:t>
      </w:r>
      <w:r w:rsidRPr="00512403">
        <w:rPr>
          <w:rFonts w:cs="Arial"/>
          <w:b/>
          <w:bCs/>
          <w:sz w:val="16"/>
          <w:szCs w:val="16"/>
        </w:rPr>
        <w:t xml:space="preserve"> y seguimiento del proceso de inversiones</w:t>
      </w:r>
      <w:r w:rsidRPr="00512403">
        <w:rPr>
          <w:rFonts w:cs="Arial"/>
          <w:b/>
          <w:bCs/>
          <w:sz w:val="16"/>
          <w:szCs w:val="16"/>
        </w:rPr>
        <w:t xml:space="preserve"> </w:t>
      </w:r>
      <w:r w:rsidRPr="00512403" w:rsidR="00B46FE1">
        <w:rPr>
          <w:rFonts w:cs="Arial"/>
          <w:b/>
          <w:bCs/>
          <w:sz w:val="16"/>
          <w:szCs w:val="16"/>
        </w:rPr>
        <w:t xml:space="preserve">en las fases que hayan definido internamente para </w:t>
      </w:r>
      <w:r w:rsidR="004204B8">
        <w:rPr>
          <w:rFonts w:cs="Arial"/>
          <w:b/>
          <w:bCs/>
          <w:sz w:val="16"/>
          <w:szCs w:val="16"/>
        </w:rPr>
        <w:t xml:space="preserve">dicho </w:t>
      </w:r>
      <w:r w:rsidRPr="00512403" w:rsidR="00B46FE1">
        <w:rPr>
          <w:rFonts w:cs="Arial"/>
          <w:b/>
          <w:bCs/>
          <w:sz w:val="16"/>
          <w:szCs w:val="16"/>
        </w:rPr>
        <w:t>proceso</w:t>
      </w:r>
      <w:r w:rsidR="004204B8">
        <w:rPr>
          <w:rFonts w:cs="Arial"/>
          <w:b/>
          <w:bCs/>
          <w:sz w:val="16"/>
          <w:szCs w:val="16"/>
        </w:rPr>
        <w:t xml:space="preserve">, </w:t>
      </w:r>
      <w:r w:rsidRPr="00512403" w:rsidR="00E539FE">
        <w:rPr>
          <w:rFonts w:cs="Arial"/>
          <w:b/>
          <w:bCs/>
          <w:sz w:val="16"/>
          <w:szCs w:val="16"/>
        </w:rPr>
        <w:t xml:space="preserve">conforme a </w:t>
      </w:r>
      <w:r w:rsidRPr="00512403">
        <w:rPr>
          <w:rFonts w:cs="Arial"/>
          <w:b/>
          <w:bCs/>
          <w:sz w:val="16"/>
          <w:szCs w:val="16"/>
        </w:rPr>
        <w:t>las políticas aprobadas por la junta directiva.</w:t>
      </w:r>
    </w:p>
    <w:p w:rsidR="00B7391F" w:rsidRPr="00512403" w:rsidP="00846F12" w14:paraId="66960DC0" w14:textId="259A6C99">
      <w:pPr>
        <w:pBdr>
          <w:left w:val="single" w:sz="4" w:space="4" w:color="auto"/>
        </w:pBdr>
        <w:rPr>
          <w:rFonts w:cs="Arial"/>
          <w:b/>
          <w:bCs/>
          <w:sz w:val="16"/>
          <w:szCs w:val="16"/>
        </w:rPr>
      </w:pPr>
    </w:p>
    <w:p w:rsidR="00B7391F" w:rsidRPr="00512403" w:rsidP="00846F12" w14:paraId="3044E800" w14:textId="516BE56B">
      <w:pPr>
        <w:pBdr>
          <w:left w:val="single" w:sz="4" w:space="4" w:color="auto"/>
        </w:pBdr>
        <w:rPr>
          <w:rFonts w:cs="Arial"/>
          <w:b/>
          <w:bCs/>
          <w:sz w:val="16"/>
          <w:szCs w:val="16"/>
        </w:rPr>
      </w:pPr>
      <w:r w:rsidRPr="00512403">
        <w:rPr>
          <w:rFonts w:cs="Arial"/>
          <w:b/>
          <w:bCs/>
          <w:sz w:val="16"/>
          <w:szCs w:val="16"/>
        </w:rPr>
        <w:t>2.1.1.2.2.3. Definir</w:t>
      </w:r>
      <w:r w:rsidRPr="00512403" w:rsidR="00624792">
        <w:rPr>
          <w:rFonts w:cs="Arial"/>
          <w:b/>
          <w:bCs/>
          <w:sz w:val="16"/>
          <w:szCs w:val="16"/>
        </w:rPr>
        <w:t xml:space="preserve"> l</w:t>
      </w:r>
      <w:r w:rsidRPr="00512403" w:rsidR="006A4ADF">
        <w:rPr>
          <w:rFonts w:cs="Arial"/>
          <w:b/>
          <w:bCs/>
          <w:sz w:val="16"/>
          <w:szCs w:val="16"/>
        </w:rPr>
        <w:t xml:space="preserve">os procedimientos e instancias responsables </w:t>
      </w:r>
      <w:r w:rsidRPr="00512403" w:rsidR="003E515E">
        <w:rPr>
          <w:rFonts w:cs="Arial"/>
          <w:b/>
          <w:bCs/>
          <w:sz w:val="16"/>
          <w:szCs w:val="16"/>
        </w:rPr>
        <w:t>del</w:t>
      </w:r>
      <w:r w:rsidRPr="00512403" w:rsidR="006A4ADF">
        <w:rPr>
          <w:rFonts w:cs="Arial"/>
          <w:b/>
          <w:bCs/>
          <w:sz w:val="16"/>
          <w:szCs w:val="16"/>
        </w:rPr>
        <w:t xml:space="preserve"> monitoreo y seguimiento de</w:t>
      </w:r>
      <w:r w:rsidRPr="00512403" w:rsidR="00C965CB">
        <w:rPr>
          <w:rFonts w:cs="Arial"/>
          <w:b/>
          <w:bCs/>
          <w:sz w:val="16"/>
          <w:szCs w:val="16"/>
        </w:rPr>
        <w:t>l proceso de inversiones</w:t>
      </w:r>
      <w:r w:rsidRPr="00512403" w:rsidR="00624792">
        <w:rPr>
          <w:rFonts w:cs="Arial"/>
          <w:b/>
          <w:bCs/>
          <w:sz w:val="16"/>
          <w:szCs w:val="16"/>
        </w:rPr>
        <w:t xml:space="preserve">, conforme a las políticas </w:t>
      </w:r>
      <w:r w:rsidRPr="00512403" w:rsidR="003E515E">
        <w:rPr>
          <w:rFonts w:cs="Arial"/>
          <w:b/>
          <w:bCs/>
          <w:sz w:val="16"/>
          <w:szCs w:val="16"/>
        </w:rPr>
        <w:t>aprobadas</w:t>
      </w:r>
      <w:r w:rsidRPr="00512403" w:rsidR="00624792">
        <w:rPr>
          <w:rFonts w:cs="Arial"/>
          <w:b/>
          <w:bCs/>
          <w:sz w:val="16"/>
          <w:szCs w:val="16"/>
        </w:rPr>
        <w:t xml:space="preserve"> por la junta directiva. </w:t>
      </w:r>
    </w:p>
    <w:p w:rsidR="000E4C1F" w:rsidRPr="00512403" w:rsidP="00846F12" w14:paraId="051D4160" w14:textId="37BDAEDC">
      <w:pPr>
        <w:pBdr>
          <w:left w:val="single" w:sz="4" w:space="4" w:color="auto"/>
        </w:pBdr>
        <w:rPr>
          <w:rFonts w:cs="Arial"/>
          <w:b/>
          <w:bCs/>
          <w:sz w:val="16"/>
          <w:szCs w:val="16"/>
        </w:rPr>
      </w:pPr>
      <w:r w:rsidRPr="00512403">
        <w:rPr>
          <w:rFonts w:cs="Arial"/>
          <w:b/>
          <w:bCs/>
          <w:sz w:val="16"/>
          <w:szCs w:val="16"/>
        </w:rPr>
        <w:t xml:space="preserve"> </w:t>
      </w:r>
    </w:p>
    <w:p w:rsidR="00E05ED0" w:rsidRPr="00512403" w:rsidP="00846F12" w14:paraId="2792F195" w14:textId="7DC10E09">
      <w:pPr>
        <w:pBdr>
          <w:left w:val="single" w:sz="4" w:space="4" w:color="auto"/>
        </w:pBdr>
        <w:rPr>
          <w:rFonts w:cs="Arial"/>
          <w:b/>
          <w:bCs/>
          <w:sz w:val="16"/>
          <w:szCs w:val="16"/>
        </w:rPr>
      </w:pPr>
      <w:r w:rsidRPr="00512403">
        <w:rPr>
          <w:rFonts w:cs="Arial"/>
          <w:b/>
          <w:bCs/>
          <w:sz w:val="16"/>
          <w:szCs w:val="16"/>
        </w:rPr>
        <w:t xml:space="preserve">2.1.1.2.2.4. </w:t>
      </w:r>
      <w:r w:rsidRPr="00512403">
        <w:rPr>
          <w:rFonts w:cs="Arial"/>
          <w:b/>
          <w:bCs/>
          <w:sz w:val="16"/>
          <w:szCs w:val="16"/>
        </w:rPr>
        <w:t xml:space="preserve">Aquellas asignadas a </w:t>
      </w:r>
      <w:r w:rsidRPr="00512403">
        <w:rPr>
          <w:rFonts w:cs="Arial"/>
          <w:b/>
          <w:bCs/>
          <w:sz w:val="16"/>
          <w:szCs w:val="16"/>
        </w:rPr>
        <w:t xml:space="preserve">cada uno de </w:t>
      </w:r>
      <w:r w:rsidRPr="00512403">
        <w:rPr>
          <w:rFonts w:cs="Arial"/>
          <w:b/>
          <w:bCs/>
          <w:sz w:val="16"/>
          <w:szCs w:val="16"/>
        </w:rPr>
        <w:t xml:space="preserve">los comités por el </w:t>
      </w:r>
      <w:r w:rsidRPr="00512403" w:rsidR="001673A9">
        <w:rPr>
          <w:rFonts w:cs="Arial"/>
          <w:b/>
          <w:bCs/>
          <w:sz w:val="16"/>
          <w:szCs w:val="16"/>
        </w:rPr>
        <w:t>artículo</w:t>
      </w:r>
      <w:r w:rsidRPr="00512403">
        <w:rPr>
          <w:rFonts w:cs="Arial"/>
          <w:b/>
          <w:bCs/>
          <w:sz w:val="16"/>
          <w:szCs w:val="16"/>
        </w:rPr>
        <w:t xml:space="preserve"> 2.6.13.1.1</w:t>
      </w:r>
      <w:r w:rsidRPr="00512403" w:rsidR="00832C80">
        <w:rPr>
          <w:rFonts w:cs="Arial"/>
          <w:b/>
          <w:bCs/>
          <w:sz w:val="16"/>
          <w:szCs w:val="16"/>
        </w:rPr>
        <w:t xml:space="preserve"> del Decreto 2555 de 2010</w:t>
      </w:r>
      <w:r w:rsidRPr="00512403" w:rsidR="00B941C8">
        <w:rPr>
          <w:rFonts w:cs="Arial"/>
          <w:b/>
          <w:bCs/>
          <w:sz w:val="16"/>
          <w:szCs w:val="16"/>
        </w:rPr>
        <w:t xml:space="preserve"> u otras disposiciones.</w:t>
      </w:r>
    </w:p>
    <w:p w:rsidR="00832C80" w:rsidRPr="00512403" w:rsidP="00846F12" w14:paraId="24FB57D1" w14:textId="5964A259">
      <w:pPr>
        <w:pBdr>
          <w:left w:val="single" w:sz="4" w:space="4" w:color="auto"/>
        </w:pBdr>
        <w:rPr>
          <w:rFonts w:cs="Arial"/>
          <w:b/>
          <w:bCs/>
          <w:sz w:val="16"/>
          <w:szCs w:val="16"/>
        </w:rPr>
      </w:pPr>
    </w:p>
    <w:p w:rsidR="00375C6F" w:rsidRPr="00512403" w:rsidP="00E65F4F" w14:paraId="686D4934" w14:textId="21EA7955">
      <w:pPr>
        <w:pStyle w:val="NormalWeb"/>
        <w:pBdr>
          <w:left w:val="single" w:sz="4" w:space="4" w:color="auto"/>
        </w:pBdr>
        <w:spacing w:before="0" w:beforeAutospacing="0" w:after="0" w:afterAutospacing="0"/>
        <w:jc w:val="both"/>
        <w:rPr>
          <w:rFonts w:ascii="Arial" w:hAnsi="Arial" w:cs="Arial"/>
          <w:b/>
          <w:color w:val="auto"/>
          <w:sz w:val="16"/>
          <w:szCs w:val="16"/>
        </w:rPr>
      </w:pPr>
      <w:r w:rsidRPr="00512403">
        <w:rPr>
          <w:rFonts w:ascii="Arial" w:hAnsi="Arial" w:cs="Arial"/>
          <w:b/>
          <w:color w:val="auto"/>
          <w:sz w:val="16"/>
          <w:szCs w:val="16"/>
        </w:rPr>
        <w:t xml:space="preserve">2.1.1.2.2.5. </w:t>
      </w:r>
      <w:bookmarkStart w:id="0" w:name="_Hlk67416739"/>
      <w:r w:rsidRPr="00512403">
        <w:rPr>
          <w:rFonts w:ascii="Arial" w:hAnsi="Arial" w:cs="Arial"/>
          <w:b/>
          <w:color w:val="auto"/>
          <w:sz w:val="16"/>
          <w:szCs w:val="16"/>
        </w:rPr>
        <w:t xml:space="preserve">En las AFPC que hagan parte de un conglomerado financiero, el comité de riesgos y </w:t>
      </w:r>
      <w:r w:rsidRPr="00512403" w:rsidR="003E4FD0">
        <w:rPr>
          <w:rFonts w:ascii="Arial" w:hAnsi="Arial" w:cs="Arial"/>
          <w:b/>
          <w:color w:val="auto"/>
          <w:sz w:val="16"/>
          <w:szCs w:val="16"/>
        </w:rPr>
        <w:t xml:space="preserve">el comité de inversiones </w:t>
      </w:r>
      <w:r w:rsidRPr="00512403">
        <w:rPr>
          <w:rFonts w:ascii="Arial" w:hAnsi="Arial" w:cs="Arial"/>
          <w:b/>
          <w:color w:val="auto"/>
          <w:sz w:val="16"/>
          <w:szCs w:val="16"/>
        </w:rPr>
        <w:t xml:space="preserve">de inversiones </w:t>
      </w:r>
      <w:r w:rsidRPr="00512403">
        <w:rPr>
          <w:rFonts w:ascii="Arial" w:hAnsi="Arial" w:cs="Arial"/>
          <w:b/>
          <w:color w:val="auto"/>
          <w:sz w:val="16"/>
          <w:szCs w:val="16"/>
        </w:rPr>
        <w:t xml:space="preserve">adicionalmente </w:t>
      </w:r>
      <w:r w:rsidRPr="00512403">
        <w:rPr>
          <w:rFonts w:ascii="Arial" w:hAnsi="Arial" w:cs="Arial"/>
          <w:b/>
          <w:color w:val="auto"/>
          <w:sz w:val="16"/>
          <w:szCs w:val="16"/>
        </w:rPr>
        <w:t xml:space="preserve">deben </w:t>
      </w:r>
      <w:r w:rsidRPr="00512403" w:rsidR="003E4FD0">
        <w:rPr>
          <w:rFonts w:ascii="Arial" w:hAnsi="Arial" w:cs="Arial"/>
          <w:b/>
          <w:color w:val="auto"/>
          <w:sz w:val="16"/>
          <w:szCs w:val="16"/>
        </w:rPr>
        <w:t>desarrollar</w:t>
      </w:r>
      <w:r w:rsidRPr="00512403">
        <w:rPr>
          <w:rFonts w:ascii="Arial" w:hAnsi="Arial" w:cs="Arial"/>
          <w:b/>
          <w:color w:val="auto"/>
          <w:sz w:val="16"/>
          <w:szCs w:val="16"/>
        </w:rPr>
        <w:t xml:space="preserve"> las funciones establecidas </w:t>
      </w:r>
      <w:r w:rsidRPr="00512403" w:rsidR="0007023B">
        <w:rPr>
          <w:rFonts w:ascii="Arial" w:hAnsi="Arial" w:cs="Arial"/>
          <w:b/>
          <w:color w:val="auto"/>
          <w:sz w:val="16"/>
          <w:szCs w:val="16"/>
        </w:rPr>
        <w:t xml:space="preserve">para cada uno de estos </w:t>
      </w:r>
      <w:r w:rsidRPr="00512403">
        <w:rPr>
          <w:rFonts w:ascii="Arial" w:hAnsi="Arial" w:cs="Arial"/>
          <w:b/>
          <w:color w:val="auto"/>
          <w:sz w:val="16"/>
          <w:szCs w:val="16"/>
        </w:rPr>
        <w:t xml:space="preserve">en los numerales 4 al </w:t>
      </w:r>
      <w:r w:rsidRPr="00512403" w:rsidR="004375B5">
        <w:rPr>
          <w:rFonts w:ascii="Arial" w:hAnsi="Arial" w:cs="Arial"/>
          <w:b/>
          <w:color w:val="auto"/>
          <w:sz w:val="16"/>
          <w:szCs w:val="16"/>
        </w:rPr>
        <w:t>6</w:t>
      </w:r>
      <w:r w:rsidRPr="00512403">
        <w:rPr>
          <w:rFonts w:ascii="Arial" w:hAnsi="Arial" w:cs="Arial"/>
          <w:b/>
          <w:color w:val="auto"/>
          <w:sz w:val="16"/>
          <w:szCs w:val="16"/>
        </w:rPr>
        <w:t xml:space="preserve"> del </w:t>
      </w:r>
      <w:r w:rsidRPr="00512403">
        <w:rPr>
          <w:rFonts w:ascii="Arial" w:hAnsi="Arial" w:cs="Arial"/>
          <w:b/>
          <w:color w:val="auto"/>
          <w:sz w:val="16"/>
          <w:szCs w:val="16"/>
        </w:rPr>
        <w:t>artículo</w:t>
      </w:r>
      <w:r w:rsidRPr="00512403">
        <w:rPr>
          <w:rFonts w:ascii="Arial" w:hAnsi="Arial" w:cs="Arial"/>
          <w:b/>
          <w:color w:val="auto"/>
          <w:sz w:val="16"/>
          <w:szCs w:val="16"/>
        </w:rPr>
        <w:t xml:space="preserve"> 2.39.3.1.5. del Decreto 2555 de 2010.</w:t>
      </w:r>
    </w:p>
    <w:bookmarkEnd w:id="0"/>
    <w:p w:rsidR="000C531B" w:rsidRPr="00512403" w:rsidP="000C531B" w14:paraId="2FDCB06E" w14:textId="77777777">
      <w:pPr>
        <w:tabs>
          <w:tab w:val="num" w:pos="360"/>
          <w:tab w:val="num" w:pos="540"/>
        </w:tabs>
        <w:ind w:left="540" w:hanging="540"/>
        <w:rPr>
          <w:rFonts w:cs="Arial"/>
          <w:sz w:val="14"/>
          <w:szCs w:val="16"/>
          <w:lang w:val="es-CO"/>
        </w:rPr>
      </w:pPr>
    </w:p>
    <w:p w:rsidR="000C531B" w:rsidRPr="00512403" w:rsidP="000C531B" w14:paraId="2FDCB06F" w14:textId="77777777">
      <w:pPr>
        <w:autoSpaceDE w:val="0"/>
        <w:autoSpaceDN w:val="0"/>
        <w:adjustRightInd w:val="0"/>
        <w:rPr>
          <w:rFonts w:eastAsia="Arial Unicode MS" w:cs="Arial"/>
          <w:sz w:val="16"/>
          <w:szCs w:val="16"/>
        </w:rPr>
      </w:pPr>
      <w:r w:rsidRPr="00512403">
        <w:rPr>
          <w:rFonts w:cs="Arial"/>
          <w:sz w:val="16"/>
          <w:szCs w:val="16"/>
        </w:rPr>
        <w:t>2.1.1.3. Criterios generales para la selección de las inversiones para cada uno de los tipos de fondos de pensiones obligatorias y de los portafolios del fondo de cesantía, tales como:</w:t>
      </w:r>
    </w:p>
    <w:p w:rsidR="000C531B" w:rsidRPr="00512403" w:rsidP="000C531B" w14:paraId="2FDCB070" w14:textId="77777777">
      <w:pPr>
        <w:tabs>
          <w:tab w:val="num" w:pos="720"/>
        </w:tabs>
        <w:autoSpaceDE w:val="0"/>
        <w:autoSpaceDN w:val="0"/>
        <w:adjustRightInd w:val="0"/>
        <w:ind w:left="720" w:hanging="720"/>
        <w:rPr>
          <w:rFonts w:eastAsia="Arial Unicode MS" w:cs="Arial"/>
          <w:sz w:val="14"/>
          <w:szCs w:val="16"/>
        </w:rPr>
      </w:pPr>
    </w:p>
    <w:p w:rsidR="000C531B" w:rsidRPr="00512403" w:rsidP="00E96B66" w14:paraId="2FDCB071" w14:textId="4C41565C">
      <w:pPr>
        <w:autoSpaceDE w:val="0"/>
        <w:autoSpaceDN w:val="0"/>
        <w:adjustRightInd w:val="0"/>
        <w:rPr>
          <w:rFonts w:cs="Arial"/>
          <w:sz w:val="16"/>
          <w:szCs w:val="16"/>
        </w:rPr>
      </w:pPr>
      <w:r w:rsidRPr="00512403">
        <w:rPr>
          <w:rFonts w:cs="Arial"/>
          <w:sz w:val="16"/>
          <w:szCs w:val="16"/>
        </w:rPr>
        <w:t>2.1.1.3.1. Condiciones que deben cumplir los títulos y/o valores y los emisores (nacionales y del exterior), tales como: calificación de riesgo crediticio, estándares de gobierno corporativo, área geográfica, sector económico</w:t>
      </w:r>
      <w:r w:rsidRPr="00512403" w:rsidR="00920FA1">
        <w:rPr>
          <w:rFonts w:cs="Arial"/>
          <w:sz w:val="16"/>
          <w:szCs w:val="16"/>
        </w:rPr>
        <w:t xml:space="preserve">, </w:t>
      </w:r>
      <w:r w:rsidRPr="00512403">
        <w:rPr>
          <w:rFonts w:cs="Arial"/>
          <w:sz w:val="16"/>
          <w:szCs w:val="16"/>
        </w:rPr>
        <w:t>y condiciones de los activos subyacentes de los fondos de inversión colectivos, fondos de inversión u otros esquemas de inversión colectiva.</w:t>
      </w:r>
    </w:p>
    <w:p w:rsidR="000C531B" w:rsidRPr="00512403" w:rsidP="000C531B" w14:paraId="2FDCB072" w14:textId="77777777">
      <w:pPr>
        <w:autoSpaceDE w:val="0"/>
        <w:autoSpaceDN w:val="0"/>
        <w:adjustRightInd w:val="0"/>
        <w:rPr>
          <w:rFonts w:cs="Arial"/>
          <w:sz w:val="14"/>
          <w:szCs w:val="16"/>
        </w:rPr>
      </w:pPr>
    </w:p>
    <w:p w:rsidR="000C531B" w:rsidRPr="00512403" w:rsidP="000D240C" w14:paraId="2FDCB073" w14:textId="109277D2">
      <w:pPr>
        <w:autoSpaceDE w:val="0"/>
        <w:autoSpaceDN w:val="0"/>
        <w:adjustRightInd w:val="0"/>
        <w:rPr>
          <w:rFonts w:cs="Arial"/>
          <w:sz w:val="16"/>
          <w:szCs w:val="16"/>
        </w:rPr>
      </w:pPr>
      <w:r w:rsidRPr="00512403">
        <w:rPr>
          <w:rFonts w:cs="Arial"/>
          <w:sz w:val="16"/>
          <w:szCs w:val="16"/>
        </w:rPr>
        <w:t>2.1.1.3.2. Condiciones que deben cumplir los fondos de inversión colectivos, fondos de inversión u otros esquemas de inversión colectiva incluyendo las relativas a comisiones y devolución de las mismas.</w:t>
      </w:r>
      <w:r w:rsidRPr="00512403" w:rsidR="00ED6655">
        <w:rPr>
          <w:rFonts w:cs="Arial"/>
          <w:sz w:val="16"/>
          <w:szCs w:val="16"/>
        </w:rPr>
        <w:t xml:space="preserve"> </w:t>
      </w:r>
    </w:p>
    <w:p w:rsidR="000C531B" w:rsidRPr="00512403" w:rsidP="000C531B" w14:paraId="2FDCB074" w14:textId="77777777">
      <w:pPr>
        <w:autoSpaceDE w:val="0"/>
        <w:autoSpaceDN w:val="0"/>
        <w:adjustRightInd w:val="0"/>
        <w:rPr>
          <w:rFonts w:cs="Arial"/>
          <w:sz w:val="14"/>
          <w:szCs w:val="16"/>
        </w:rPr>
      </w:pPr>
    </w:p>
    <w:p w:rsidR="000C531B" w:rsidP="000C531B" w14:paraId="2FDCB075" w14:textId="52D6BE57">
      <w:pPr>
        <w:autoSpaceDE w:val="0"/>
        <w:autoSpaceDN w:val="0"/>
        <w:adjustRightInd w:val="0"/>
        <w:rPr>
          <w:rFonts w:cs="Arial"/>
          <w:sz w:val="16"/>
          <w:szCs w:val="16"/>
        </w:rPr>
      </w:pPr>
      <w:r w:rsidRPr="00512403">
        <w:rPr>
          <w:rFonts w:cs="Arial"/>
          <w:sz w:val="16"/>
          <w:szCs w:val="16"/>
        </w:rPr>
        <w:t>2.1.1.3.3. Mercados en los cuales la administradora va a realizar las negociaciones de inversiones.</w:t>
      </w:r>
    </w:p>
    <w:p w:rsidR="00530141" w:rsidP="000C531B" w14:paraId="1350F8BC" w14:textId="2462FD2B">
      <w:pPr>
        <w:autoSpaceDE w:val="0"/>
        <w:autoSpaceDN w:val="0"/>
        <w:adjustRightInd w:val="0"/>
        <w:rPr>
          <w:rFonts w:cs="Arial"/>
          <w:sz w:val="16"/>
          <w:szCs w:val="16"/>
        </w:rPr>
      </w:pPr>
    </w:p>
    <w:p w:rsidR="00530141" w:rsidRPr="00530141" w:rsidP="00530141" w14:paraId="04972F4B" w14:textId="1DCA7B39">
      <w:pPr>
        <w:pBdr>
          <w:left w:val="single" w:sz="4" w:space="4" w:color="auto"/>
        </w:pBdr>
        <w:autoSpaceDE w:val="0"/>
        <w:autoSpaceDN w:val="0"/>
        <w:adjustRightInd w:val="0"/>
        <w:rPr>
          <w:rFonts w:cs="Arial"/>
          <w:b/>
          <w:bCs/>
          <w:sz w:val="16"/>
          <w:szCs w:val="16"/>
        </w:rPr>
      </w:pPr>
      <w:r w:rsidRPr="00530141">
        <w:rPr>
          <w:rFonts w:cs="Arial"/>
          <w:b/>
          <w:bCs/>
          <w:sz w:val="16"/>
          <w:szCs w:val="16"/>
        </w:rPr>
        <w:t>2.1.1.3.4.</w:t>
      </w:r>
      <w:r>
        <w:rPr>
          <w:rFonts w:cs="Arial"/>
          <w:b/>
          <w:bCs/>
          <w:sz w:val="16"/>
          <w:szCs w:val="16"/>
        </w:rPr>
        <w:t xml:space="preserve"> </w:t>
      </w:r>
      <w:r>
        <w:rPr>
          <w:b/>
          <w:bCs/>
          <w:sz w:val="16"/>
          <w:szCs w:val="16"/>
        </w:rPr>
        <w:t>O</w:t>
      </w:r>
      <w:r w:rsidRPr="00512403">
        <w:rPr>
          <w:b/>
          <w:bCs/>
          <w:sz w:val="16"/>
          <w:szCs w:val="16"/>
        </w:rPr>
        <w:t>bjetivos esperados al realizar la inversión de acuerdo con las evaluaciones prospectivas de la relación riesgo-retorno</w:t>
      </w:r>
      <w:r w:rsidR="00E515F0">
        <w:rPr>
          <w:b/>
          <w:bCs/>
          <w:sz w:val="16"/>
          <w:szCs w:val="16"/>
        </w:rPr>
        <w:t>.</w:t>
      </w:r>
      <w:r w:rsidRPr="00512403">
        <w:rPr>
          <w:rFonts w:cs="Arial"/>
          <w:sz w:val="16"/>
          <w:szCs w:val="16"/>
        </w:rPr>
        <w:t xml:space="preserve"> </w:t>
      </w:r>
    </w:p>
    <w:p w:rsidR="000C531B" w:rsidRPr="00512403" w:rsidP="000C531B" w14:paraId="2FDCB076" w14:textId="77777777">
      <w:pPr>
        <w:tabs>
          <w:tab w:val="num" w:pos="720"/>
        </w:tabs>
        <w:autoSpaceDE w:val="0"/>
        <w:autoSpaceDN w:val="0"/>
        <w:adjustRightInd w:val="0"/>
        <w:ind w:left="720" w:hanging="720"/>
        <w:rPr>
          <w:rFonts w:cs="Arial"/>
          <w:sz w:val="14"/>
          <w:szCs w:val="16"/>
        </w:rPr>
      </w:pPr>
    </w:p>
    <w:p w:rsidR="000C531B" w:rsidRPr="00512403" w:rsidP="000C531B" w14:paraId="2FDCB077" w14:textId="77777777">
      <w:pPr>
        <w:autoSpaceDE w:val="0"/>
        <w:autoSpaceDN w:val="0"/>
        <w:adjustRightInd w:val="0"/>
        <w:rPr>
          <w:rFonts w:cs="Arial"/>
          <w:sz w:val="16"/>
          <w:szCs w:val="16"/>
        </w:rPr>
      </w:pPr>
      <w:r w:rsidRPr="00512403">
        <w:rPr>
          <w:rFonts w:cs="Arial"/>
          <w:sz w:val="16"/>
          <w:szCs w:val="16"/>
        </w:rPr>
        <w:t xml:space="preserve">2.1.1.4. Criterios generales para la realización de las operaciones con derivados, tales como: </w:t>
      </w:r>
    </w:p>
    <w:p w:rsidR="000C531B" w:rsidRPr="00512403" w:rsidP="000C531B" w14:paraId="2FDCB078" w14:textId="77777777">
      <w:pPr>
        <w:tabs>
          <w:tab w:val="num" w:pos="720"/>
        </w:tabs>
        <w:autoSpaceDE w:val="0"/>
        <w:autoSpaceDN w:val="0"/>
        <w:adjustRightInd w:val="0"/>
        <w:ind w:left="720" w:hanging="720"/>
        <w:rPr>
          <w:rFonts w:cs="Arial"/>
          <w:sz w:val="14"/>
          <w:szCs w:val="16"/>
        </w:rPr>
      </w:pPr>
    </w:p>
    <w:p w:rsidR="000C531B" w:rsidRPr="00512403" w:rsidP="000C531B" w14:paraId="2FDCB079" w14:textId="77777777">
      <w:pPr>
        <w:autoSpaceDE w:val="0"/>
        <w:autoSpaceDN w:val="0"/>
        <w:adjustRightInd w:val="0"/>
        <w:rPr>
          <w:rFonts w:cs="Arial"/>
          <w:sz w:val="16"/>
          <w:szCs w:val="16"/>
        </w:rPr>
      </w:pPr>
      <w:r w:rsidRPr="00512403">
        <w:rPr>
          <w:rFonts w:cs="Arial"/>
          <w:sz w:val="16"/>
          <w:szCs w:val="16"/>
        </w:rPr>
        <w:t>2.1.1.4.1. Objetivos (cobertura y/o de inversión)</w:t>
      </w:r>
    </w:p>
    <w:p w:rsidR="000C531B" w:rsidRPr="00512403" w:rsidP="000C531B" w14:paraId="2FDCB07A" w14:textId="77777777">
      <w:pPr>
        <w:autoSpaceDE w:val="0"/>
        <w:autoSpaceDN w:val="0"/>
        <w:adjustRightInd w:val="0"/>
        <w:rPr>
          <w:rFonts w:cs="Arial"/>
          <w:sz w:val="16"/>
          <w:szCs w:val="16"/>
        </w:rPr>
      </w:pPr>
      <w:r w:rsidRPr="00512403">
        <w:rPr>
          <w:rFonts w:cs="Arial"/>
          <w:sz w:val="16"/>
          <w:szCs w:val="16"/>
        </w:rPr>
        <w:t>2.1.1.4.2. Mercados en los cuales la administradora va a realizar estas operaciones</w:t>
      </w:r>
    </w:p>
    <w:p w:rsidR="000C531B" w:rsidRPr="00512403" w:rsidP="000C531B" w14:paraId="2FDCB07B" w14:textId="77777777">
      <w:pPr>
        <w:autoSpaceDE w:val="0"/>
        <w:autoSpaceDN w:val="0"/>
        <w:adjustRightInd w:val="0"/>
        <w:rPr>
          <w:rFonts w:cs="Arial"/>
          <w:sz w:val="16"/>
          <w:szCs w:val="16"/>
        </w:rPr>
      </w:pPr>
      <w:r w:rsidRPr="00512403">
        <w:rPr>
          <w:rFonts w:cs="Arial"/>
          <w:sz w:val="16"/>
          <w:szCs w:val="16"/>
        </w:rPr>
        <w:t>2.1.1.4.3. Subyacentes autorizados</w:t>
      </w:r>
    </w:p>
    <w:p w:rsidR="000C531B" w:rsidRPr="00512403" w:rsidP="000C531B" w14:paraId="2FDCB07C" w14:textId="77777777">
      <w:pPr>
        <w:autoSpaceDE w:val="0"/>
        <w:autoSpaceDN w:val="0"/>
        <w:adjustRightInd w:val="0"/>
        <w:rPr>
          <w:rFonts w:cs="Arial"/>
          <w:sz w:val="16"/>
          <w:szCs w:val="16"/>
        </w:rPr>
      </w:pPr>
      <w:r w:rsidRPr="00512403">
        <w:rPr>
          <w:rFonts w:cs="Arial"/>
          <w:sz w:val="16"/>
          <w:szCs w:val="16"/>
        </w:rPr>
        <w:t>2.1.1.4.4. Políticas de administración de colaterales y negociación de acuerdos marco o contratos asociados</w:t>
      </w:r>
    </w:p>
    <w:p w:rsidR="000C531B" w:rsidRPr="00512403" w:rsidP="000C531B" w14:paraId="2FDCB07D" w14:textId="77777777">
      <w:pPr>
        <w:tabs>
          <w:tab w:val="num" w:pos="720"/>
        </w:tabs>
        <w:autoSpaceDE w:val="0"/>
        <w:autoSpaceDN w:val="0"/>
        <w:adjustRightInd w:val="0"/>
        <w:ind w:left="720" w:hanging="720"/>
        <w:rPr>
          <w:rFonts w:cs="Arial"/>
          <w:sz w:val="14"/>
          <w:szCs w:val="16"/>
        </w:rPr>
      </w:pPr>
    </w:p>
    <w:p w:rsidR="000C531B" w:rsidRPr="00512403" w:rsidP="000C531B" w14:paraId="2FDCB07E" w14:textId="77777777">
      <w:pPr>
        <w:autoSpaceDE w:val="0"/>
        <w:autoSpaceDN w:val="0"/>
        <w:adjustRightInd w:val="0"/>
        <w:rPr>
          <w:rFonts w:cs="Arial"/>
          <w:sz w:val="16"/>
          <w:szCs w:val="16"/>
        </w:rPr>
      </w:pPr>
      <w:r w:rsidRPr="00512403">
        <w:rPr>
          <w:rFonts w:cs="Arial"/>
          <w:sz w:val="16"/>
          <w:szCs w:val="16"/>
        </w:rPr>
        <w:t>2.1.1.5. Políticas generales de la administradora en cuanto a la realización de:</w:t>
      </w:r>
    </w:p>
    <w:p w:rsidR="000C531B" w:rsidRPr="00512403" w:rsidP="00E72BB7" w14:paraId="2FDCB07F" w14:textId="77777777">
      <w:pPr>
        <w:tabs>
          <w:tab w:val="num" w:pos="720"/>
        </w:tabs>
        <w:autoSpaceDE w:val="0"/>
        <w:autoSpaceDN w:val="0"/>
        <w:adjustRightInd w:val="0"/>
        <w:ind w:left="720" w:hanging="720"/>
        <w:jc w:val="right"/>
        <w:rPr>
          <w:rFonts w:cs="Arial"/>
          <w:sz w:val="14"/>
          <w:szCs w:val="16"/>
        </w:rPr>
      </w:pPr>
    </w:p>
    <w:p w:rsidR="000C531B" w:rsidRPr="00512403" w:rsidP="000C531B" w14:paraId="2FDCB080" w14:textId="77777777">
      <w:pPr>
        <w:autoSpaceDE w:val="0"/>
        <w:autoSpaceDN w:val="0"/>
        <w:adjustRightInd w:val="0"/>
        <w:rPr>
          <w:rFonts w:cs="Arial"/>
          <w:sz w:val="16"/>
          <w:szCs w:val="16"/>
        </w:rPr>
      </w:pPr>
      <w:r w:rsidRPr="00512403">
        <w:rPr>
          <w:rFonts w:cs="Arial"/>
          <w:sz w:val="16"/>
          <w:szCs w:val="16"/>
        </w:rPr>
        <w:t>2.1.1.5.1. Operaciones repo activos</w:t>
      </w:r>
    </w:p>
    <w:p w:rsidR="000C531B" w:rsidRPr="00512403" w:rsidP="000C531B" w14:paraId="2FDCB081" w14:textId="77777777">
      <w:pPr>
        <w:autoSpaceDE w:val="0"/>
        <w:autoSpaceDN w:val="0"/>
        <w:adjustRightInd w:val="0"/>
        <w:rPr>
          <w:rFonts w:cs="Arial"/>
          <w:sz w:val="16"/>
          <w:szCs w:val="16"/>
        </w:rPr>
      </w:pPr>
      <w:r w:rsidRPr="00512403">
        <w:rPr>
          <w:rFonts w:cs="Arial"/>
          <w:sz w:val="16"/>
          <w:szCs w:val="16"/>
        </w:rPr>
        <w:t>2.1.1.5.2. Operaciones repo pasivos</w:t>
      </w:r>
    </w:p>
    <w:p w:rsidR="000C531B" w:rsidRPr="00512403" w:rsidP="000C531B" w14:paraId="2FDCB082" w14:textId="77777777">
      <w:pPr>
        <w:autoSpaceDE w:val="0"/>
        <w:autoSpaceDN w:val="0"/>
        <w:adjustRightInd w:val="0"/>
        <w:rPr>
          <w:rFonts w:cs="Arial"/>
          <w:sz w:val="16"/>
          <w:szCs w:val="16"/>
        </w:rPr>
      </w:pPr>
      <w:r w:rsidRPr="00512403">
        <w:rPr>
          <w:rFonts w:cs="Arial"/>
          <w:sz w:val="16"/>
          <w:szCs w:val="16"/>
        </w:rPr>
        <w:t>2.1.1.5.3. Operaciones simultáneas activas</w:t>
      </w:r>
    </w:p>
    <w:p w:rsidR="000C531B" w:rsidRPr="00512403" w:rsidP="000C531B" w14:paraId="2FDCB083" w14:textId="77777777">
      <w:pPr>
        <w:autoSpaceDE w:val="0"/>
        <w:autoSpaceDN w:val="0"/>
        <w:adjustRightInd w:val="0"/>
        <w:rPr>
          <w:rFonts w:cs="Arial"/>
          <w:sz w:val="16"/>
          <w:szCs w:val="16"/>
        </w:rPr>
      </w:pPr>
      <w:r w:rsidRPr="00512403">
        <w:rPr>
          <w:rFonts w:cs="Arial"/>
          <w:sz w:val="16"/>
          <w:szCs w:val="16"/>
        </w:rPr>
        <w:t>2.1.1.5.4. Operaciones simultáneas pasivas</w:t>
      </w:r>
    </w:p>
    <w:p w:rsidR="000C531B" w:rsidRPr="00512403" w:rsidP="000C531B" w14:paraId="2FDCB084" w14:textId="77777777">
      <w:pPr>
        <w:autoSpaceDE w:val="0"/>
        <w:autoSpaceDN w:val="0"/>
        <w:adjustRightInd w:val="0"/>
        <w:rPr>
          <w:rFonts w:cs="Arial"/>
          <w:sz w:val="16"/>
          <w:szCs w:val="16"/>
        </w:rPr>
      </w:pPr>
      <w:r w:rsidRPr="00512403">
        <w:rPr>
          <w:rFonts w:cs="Arial"/>
          <w:sz w:val="16"/>
          <w:szCs w:val="16"/>
        </w:rPr>
        <w:t>2.1.1.5.5. Transferencia temporal de valores</w:t>
      </w:r>
    </w:p>
    <w:p w:rsidR="000C531B" w:rsidRPr="00512403" w:rsidP="000C531B" w14:paraId="2FDCB085" w14:textId="77777777">
      <w:pPr>
        <w:tabs>
          <w:tab w:val="num" w:pos="720"/>
        </w:tabs>
        <w:autoSpaceDE w:val="0"/>
        <w:autoSpaceDN w:val="0"/>
        <w:adjustRightInd w:val="0"/>
        <w:ind w:left="720" w:hanging="720"/>
        <w:rPr>
          <w:rFonts w:cs="Arial"/>
          <w:sz w:val="14"/>
          <w:szCs w:val="16"/>
          <w:lang w:val="es-ES"/>
        </w:rPr>
      </w:pPr>
    </w:p>
    <w:p w:rsidR="000C531B" w:rsidRPr="00512403" w:rsidP="000C531B" w14:paraId="2FDCB086" w14:textId="77777777">
      <w:pPr>
        <w:keepNext/>
        <w:widowControl w:val="0"/>
        <w:autoSpaceDE w:val="0"/>
        <w:autoSpaceDN w:val="0"/>
        <w:adjustRightInd w:val="0"/>
        <w:rPr>
          <w:rFonts w:cs="Arial"/>
          <w:sz w:val="16"/>
          <w:szCs w:val="16"/>
        </w:rPr>
      </w:pPr>
      <w:r w:rsidRPr="00512403">
        <w:rPr>
          <w:rFonts w:cs="Arial"/>
          <w:sz w:val="16"/>
          <w:szCs w:val="16"/>
        </w:rPr>
        <w:t>2.1.1.6. Criterios adoptados para la selección de contrapartes en:</w:t>
      </w:r>
    </w:p>
    <w:p w:rsidR="000C531B" w:rsidRPr="00512403" w:rsidP="000C531B" w14:paraId="2FDCB087" w14:textId="77777777">
      <w:pPr>
        <w:keepNext/>
        <w:widowControl w:val="0"/>
        <w:autoSpaceDE w:val="0"/>
        <w:autoSpaceDN w:val="0"/>
        <w:adjustRightInd w:val="0"/>
        <w:rPr>
          <w:rFonts w:cs="Arial"/>
          <w:sz w:val="14"/>
          <w:szCs w:val="16"/>
        </w:rPr>
      </w:pPr>
    </w:p>
    <w:p w:rsidR="000C531B" w:rsidRPr="00512403" w:rsidP="000C531B" w14:paraId="2FDCB088" w14:textId="77777777">
      <w:pPr>
        <w:keepNext/>
        <w:widowControl w:val="0"/>
        <w:autoSpaceDE w:val="0"/>
        <w:autoSpaceDN w:val="0"/>
        <w:adjustRightInd w:val="0"/>
        <w:rPr>
          <w:rFonts w:cs="Arial"/>
          <w:sz w:val="16"/>
          <w:szCs w:val="16"/>
        </w:rPr>
      </w:pPr>
      <w:r w:rsidRPr="00512403">
        <w:rPr>
          <w:rFonts w:cs="Arial"/>
          <w:sz w:val="16"/>
          <w:szCs w:val="16"/>
        </w:rPr>
        <w:t>2.1.1.6.1. La negociación de títulos y/o valores</w:t>
      </w:r>
    </w:p>
    <w:p w:rsidR="000C531B" w:rsidRPr="00512403" w:rsidP="000C531B" w14:paraId="2FDCB089" w14:textId="77777777">
      <w:pPr>
        <w:keepNext/>
        <w:widowControl w:val="0"/>
        <w:autoSpaceDE w:val="0"/>
        <w:autoSpaceDN w:val="0"/>
        <w:adjustRightInd w:val="0"/>
        <w:rPr>
          <w:rFonts w:cs="Arial"/>
          <w:sz w:val="16"/>
          <w:szCs w:val="16"/>
        </w:rPr>
      </w:pPr>
      <w:r w:rsidRPr="00512403">
        <w:rPr>
          <w:rFonts w:cs="Arial"/>
          <w:sz w:val="16"/>
          <w:szCs w:val="16"/>
        </w:rPr>
        <w:t>2.1.1.6.2. La negociación de instrumentos derivados</w:t>
      </w:r>
    </w:p>
    <w:p w:rsidR="000C531B" w:rsidRPr="00512403" w:rsidP="000C531B" w14:paraId="2FDCB08A" w14:textId="77777777">
      <w:pPr>
        <w:autoSpaceDE w:val="0"/>
        <w:autoSpaceDN w:val="0"/>
        <w:adjustRightInd w:val="0"/>
        <w:rPr>
          <w:rFonts w:cs="Arial"/>
          <w:sz w:val="16"/>
          <w:szCs w:val="16"/>
        </w:rPr>
      </w:pPr>
      <w:r w:rsidRPr="00512403">
        <w:rPr>
          <w:rFonts w:cs="Arial"/>
          <w:sz w:val="16"/>
          <w:szCs w:val="16"/>
        </w:rPr>
        <w:t xml:space="preserve">2.1.1.6.3. La negociación de repos, simultáneas y de transferencia temporal de valores </w:t>
      </w:r>
    </w:p>
    <w:p w:rsidR="000C531B" w:rsidRPr="00512403" w:rsidP="000C531B" w14:paraId="2FDCB08B" w14:textId="77777777">
      <w:pPr>
        <w:autoSpaceDE w:val="0"/>
        <w:autoSpaceDN w:val="0"/>
        <w:adjustRightInd w:val="0"/>
        <w:rPr>
          <w:rFonts w:cs="Arial"/>
          <w:sz w:val="14"/>
          <w:szCs w:val="16"/>
        </w:rPr>
      </w:pPr>
    </w:p>
    <w:p w:rsidR="00DA1FAE" w:rsidRPr="00512403" w:rsidP="00846F12" w14:paraId="721204DF" w14:textId="1B862FA8">
      <w:pPr>
        <w:pStyle w:val="ListParagraph1"/>
        <w:pBdr>
          <w:left w:val="single" w:sz="4" w:space="4" w:color="auto"/>
        </w:pBdr>
        <w:ind w:left="0"/>
        <w:rPr>
          <w:bCs/>
          <w:sz w:val="16"/>
          <w:szCs w:val="16"/>
        </w:rPr>
      </w:pPr>
      <w:r w:rsidRPr="00512403">
        <w:rPr>
          <w:b w:val="0"/>
          <w:sz w:val="16"/>
          <w:szCs w:val="16"/>
        </w:rPr>
        <w:t xml:space="preserve">2.1.1.7. </w:t>
      </w:r>
      <w:r w:rsidRPr="00512403" w:rsidR="00FF3350">
        <w:rPr>
          <w:bCs/>
          <w:sz w:val="16"/>
          <w:szCs w:val="16"/>
        </w:rPr>
        <w:t>Políticas</w:t>
      </w:r>
      <w:r w:rsidRPr="00512403" w:rsidR="00DE0CE9">
        <w:rPr>
          <w:b w:val="0"/>
          <w:sz w:val="16"/>
          <w:szCs w:val="16"/>
        </w:rPr>
        <w:t xml:space="preserve"> </w:t>
      </w:r>
      <w:r w:rsidRPr="000F4C38" w:rsidR="006E7ECC">
        <w:rPr>
          <w:bCs/>
          <w:sz w:val="16"/>
          <w:szCs w:val="16"/>
        </w:rPr>
        <w:t>generales</w:t>
      </w:r>
      <w:r w:rsidRPr="00512403" w:rsidR="006E7ECC">
        <w:rPr>
          <w:b w:val="0"/>
          <w:sz w:val="16"/>
          <w:szCs w:val="16"/>
        </w:rPr>
        <w:t xml:space="preserve"> </w:t>
      </w:r>
      <w:r w:rsidRPr="00512403">
        <w:rPr>
          <w:b w:val="0"/>
          <w:sz w:val="16"/>
          <w:szCs w:val="16"/>
        </w:rPr>
        <w:t>en el evento en que se presenten excesos o defectos en los límites de inversión, tanto internos como legales.</w:t>
      </w:r>
      <w:r w:rsidRPr="00512403">
        <w:rPr>
          <w:b w:val="0"/>
          <w:sz w:val="16"/>
          <w:szCs w:val="16"/>
        </w:rPr>
        <w:t xml:space="preserve"> </w:t>
      </w:r>
      <w:r w:rsidRPr="00512403">
        <w:rPr>
          <w:bCs/>
          <w:sz w:val="16"/>
          <w:szCs w:val="16"/>
        </w:rPr>
        <w:t xml:space="preserve">Estas políticas deben </w:t>
      </w:r>
      <w:r w:rsidRPr="00512403" w:rsidR="00C956FA">
        <w:rPr>
          <w:bCs/>
          <w:sz w:val="16"/>
          <w:szCs w:val="16"/>
        </w:rPr>
        <w:t xml:space="preserve">incluir </w:t>
      </w:r>
      <w:r w:rsidRPr="00512403">
        <w:rPr>
          <w:bCs/>
          <w:sz w:val="16"/>
          <w:szCs w:val="16"/>
        </w:rPr>
        <w:t>el procedimiento, requisitos</w:t>
      </w:r>
      <w:r w:rsidRPr="00512403" w:rsidR="007C07FD">
        <w:rPr>
          <w:bCs/>
          <w:sz w:val="16"/>
          <w:szCs w:val="16"/>
        </w:rPr>
        <w:t>,</w:t>
      </w:r>
      <w:r w:rsidRPr="00512403" w:rsidR="009125F4">
        <w:rPr>
          <w:bCs/>
          <w:sz w:val="16"/>
          <w:szCs w:val="16"/>
        </w:rPr>
        <w:t xml:space="preserve"> e</w:t>
      </w:r>
      <w:r w:rsidRPr="00512403" w:rsidR="007C07FD">
        <w:rPr>
          <w:bCs/>
          <w:sz w:val="16"/>
          <w:szCs w:val="16"/>
        </w:rPr>
        <w:t xml:space="preserve"> </w:t>
      </w:r>
      <w:r w:rsidRPr="00512403" w:rsidR="005466F0">
        <w:rPr>
          <w:bCs/>
          <w:sz w:val="16"/>
          <w:szCs w:val="16"/>
        </w:rPr>
        <w:t>instancias</w:t>
      </w:r>
      <w:r w:rsidRPr="00512403">
        <w:rPr>
          <w:bCs/>
          <w:sz w:val="16"/>
          <w:szCs w:val="16"/>
        </w:rPr>
        <w:t xml:space="preserve"> responsables</w:t>
      </w:r>
      <w:r w:rsidRPr="00512403" w:rsidR="005B5CE5">
        <w:rPr>
          <w:bCs/>
          <w:sz w:val="16"/>
          <w:szCs w:val="16"/>
        </w:rPr>
        <w:t xml:space="preserve"> </w:t>
      </w:r>
      <w:r w:rsidRPr="00512403" w:rsidR="000E47CE">
        <w:rPr>
          <w:bCs/>
          <w:sz w:val="16"/>
          <w:szCs w:val="16"/>
        </w:rPr>
        <w:t>con sus niveles de atribución</w:t>
      </w:r>
      <w:r w:rsidRPr="00512403" w:rsidR="009125F4">
        <w:rPr>
          <w:bCs/>
          <w:sz w:val="16"/>
          <w:szCs w:val="16"/>
        </w:rPr>
        <w:t xml:space="preserve"> para reestablecer el cumplimiento de </w:t>
      </w:r>
      <w:r w:rsidRPr="00512403" w:rsidR="003A6296">
        <w:rPr>
          <w:bCs/>
          <w:sz w:val="16"/>
          <w:szCs w:val="16"/>
        </w:rPr>
        <w:t xml:space="preserve">los </w:t>
      </w:r>
      <w:r w:rsidRPr="00512403" w:rsidR="008D4AA5">
        <w:rPr>
          <w:bCs/>
          <w:sz w:val="16"/>
          <w:szCs w:val="16"/>
        </w:rPr>
        <w:t>límites</w:t>
      </w:r>
      <w:r w:rsidRPr="00512403" w:rsidR="003A6296">
        <w:rPr>
          <w:bCs/>
          <w:sz w:val="16"/>
          <w:szCs w:val="16"/>
        </w:rPr>
        <w:t>.</w:t>
      </w:r>
      <w:r w:rsidRPr="00512403" w:rsidR="002C7DF5">
        <w:rPr>
          <w:bCs/>
          <w:sz w:val="16"/>
          <w:szCs w:val="16"/>
        </w:rPr>
        <w:t xml:space="preserve"> </w:t>
      </w:r>
      <w:r w:rsidRPr="00512403" w:rsidR="00E537A3">
        <w:rPr>
          <w:bCs/>
          <w:sz w:val="16"/>
          <w:szCs w:val="16"/>
        </w:rPr>
        <w:t>Dentro de los procedimientos se debe contemplar el curso de acción para la identificación de las circunstancias que llevaron al incumplimiento del límite</w:t>
      </w:r>
      <w:r w:rsidR="0026200B">
        <w:rPr>
          <w:bCs/>
          <w:sz w:val="16"/>
          <w:szCs w:val="16"/>
        </w:rPr>
        <w:t xml:space="preserve">, así como </w:t>
      </w:r>
      <w:r w:rsidRPr="00512403" w:rsidR="00E537A3">
        <w:rPr>
          <w:bCs/>
          <w:sz w:val="16"/>
          <w:szCs w:val="16"/>
        </w:rPr>
        <w:t>los procesos y medidas para subsanarlas.</w:t>
      </w:r>
    </w:p>
    <w:p w:rsidR="000C531B" w:rsidRPr="00512403" w:rsidP="000C531B" w14:paraId="2FDCB08D" w14:textId="77777777">
      <w:pPr>
        <w:tabs>
          <w:tab w:val="num" w:pos="720"/>
        </w:tabs>
        <w:autoSpaceDE w:val="0"/>
        <w:autoSpaceDN w:val="0"/>
        <w:adjustRightInd w:val="0"/>
        <w:ind w:left="720" w:hanging="720"/>
        <w:rPr>
          <w:rFonts w:cs="Arial"/>
          <w:sz w:val="14"/>
          <w:szCs w:val="16"/>
        </w:rPr>
      </w:pPr>
    </w:p>
    <w:p w:rsidR="000C531B" w:rsidRPr="00512403" w:rsidP="000C531B" w14:paraId="2FDCB08E" w14:textId="77777777">
      <w:pPr>
        <w:autoSpaceDE w:val="0"/>
        <w:autoSpaceDN w:val="0"/>
        <w:adjustRightInd w:val="0"/>
        <w:rPr>
          <w:rFonts w:cs="Arial"/>
          <w:sz w:val="16"/>
          <w:szCs w:val="16"/>
        </w:rPr>
      </w:pPr>
      <w:r w:rsidRPr="00512403">
        <w:rPr>
          <w:rFonts w:cs="Arial"/>
          <w:sz w:val="16"/>
          <w:szCs w:val="16"/>
        </w:rPr>
        <w:t>2.1.1.8. Procedimiento para evaluar el desempeño en la gestión de las inversiones, en donde se indique por lo menos:</w:t>
      </w:r>
    </w:p>
    <w:p w:rsidR="000C531B" w:rsidRPr="00512403" w:rsidP="000C531B" w14:paraId="2FDCB08F" w14:textId="77777777">
      <w:pPr>
        <w:tabs>
          <w:tab w:val="num" w:pos="720"/>
        </w:tabs>
        <w:autoSpaceDE w:val="0"/>
        <w:autoSpaceDN w:val="0"/>
        <w:adjustRightInd w:val="0"/>
        <w:ind w:left="720" w:hanging="720"/>
        <w:rPr>
          <w:rFonts w:cs="Arial"/>
          <w:sz w:val="14"/>
          <w:szCs w:val="16"/>
        </w:rPr>
      </w:pPr>
    </w:p>
    <w:p w:rsidR="000C531B" w:rsidRPr="00512403" w:rsidP="000C531B" w14:paraId="2FDCB090" w14:textId="77777777">
      <w:pPr>
        <w:autoSpaceDE w:val="0"/>
        <w:autoSpaceDN w:val="0"/>
        <w:adjustRightInd w:val="0"/>
        <w:rPr>
          <w:rFonts w:cs="Arial"/>
          <w:sz w:val="16"/>
          <w:szCs w:val="16"/>
        </w:rPr>
      </w:pPr>
      <w:r w:rsidRPr="00512403">
        <w:rPr>
          <w:rFonts w:cs="Arial"/>
          <w:sz w:val="16"/>
          <w:szCs w:val="16"/>
        </w:rPr>
        <w:t>2.1.1.8.1. Descripción de los indicadores a utilizar</w:t>
      </w:r>
    </w:p>
    <w:p w:rsidR="000C531B" w:rsidRPr="00512403" w:rsidP="000C531B" w14:paraId="2FDCB091" w14:textId="77777777">
      <w:pPr>
        <w:autoSpaceDE w:val="0"/>
        <w:autoSpaceDN w:val="0"/>
        <w:adjustRightInd w:val="0"/>
        <w:rPr>
          <w:rFonts w:cs="Arial"/>
          <w:sz w:val="16"/>
          <w:szCs w:val="16"/>
        </w:rPr>
      </w:pPr>
      <w:r w:rsidRPr="00512403">
        <w:rPr>
          <w:rFonts w:cs="Arial"/>
          <w:sz w:val="16"/>
          <w:szCs w:val="16"/>
        </w:rPr>
        <w:t>2.1.1.8.2. Periodicidad de evaluación</w:t>
      </w:r>
    </w:p>
    <w:p w:rsidR="000C531B" w:rsidRPr="00512403" w:rsidP="000C531B" w14:paraId="2FDCB092" w14:textId="77777777">
      <w:pPr>
        <w:autoSpaceDE w:val="0"/>
        <w:autoSpaceDN w:val="0"/>
        <w:adjustRightInd w:val="0"/>
        <w:rPr>
          <w:rFonts w:cs="Arial"/>
          <w:sz w:val="16"/>
          <w:szCs w:val="16"/>
        </w:rPr>
      </w:pPr>
      <w:r w:rsidRPr="00512403">
        <w:rPr>
          <w:rFonts w:cs="Arial"/>
          <w:sz w:val="16"/>
          <w:szCs w:val="16"/>
        </w:rPr>
        <w:t xml:space="preserve">2.1.1.8.3. Órgano o áreas encargadas de hacer seguimiento a dicha evaluación </w:t>
      </w:r>
    </w:p>
    <w:p w:rsidR="000C531B" w:rsidRPr="00512403" w:rsidP="000C531B" w14:paraId="2FDCB093" w14:textId="38995AA0">
      <w:pPr>
        <w:autoSpaceDE w:val="0"/>
        <w:autoSpaceDN w:val="0"/>
        <w:adjustRightInd w:val="0"/>
        <w:rPr>
          <w:rFonts w:cs="Arial"/>
          <w:sz w:val="16"/>
          <w:szCs w:val="16"/>
        </w:rPr>
      </w:pPr>
      <w:r w:rsidRPr="00512403">
        <w:rPr>
          <w:rFonts w:cs="Arial"/>
          <w:sz w:val="16"/>
          <w:szCs w:val="16"/>
        </w:rPr>
        <w:t>2.1.1.8.4. Órganos o áreas receptores de las evaluaciones</w:t>
      </w:r>
    </w:p>
    <w:p w:rsidR="000C531B" w:rsidRPr="00512403" w:rsidP="000C531B" w14:paraId="2FDCB094" w14:textId="77777777">
      <w:pPr>
        <w:tabs>
          <w:tab w:val="num" w:pos="720"/>
        </w:tabs>
        <w:autoSpaceDE w:val="0"/>
        <w:autoSpaceDN w:val="0"/>
        <w:adjustRightInd w:val="0"/>
        <w:ind w:left="720" w:hanging="720"/>
        <w:rPr>
          <w:rFonts w:cs="Arial"/>
          <w:sz w:val="14"/>
          <w:szCs w:val="16"/>
        </w:rPr>
      </w:pPr>
    </w:p>
    <w:p w:rsidR="000C531B" w:rsidP="00846F12" w14:paraId="2FDCB095" w14:textId="61F675A0">
      <w:pPr>
        <w:pBdr>
          <w:left w:val="single" w:sz="4" w:space="4" w:color="auto"/>
        </w:pBdr>
        <w:autoSpaceDE w:val="0"/>
        <w:autoSpaceDN w:val="0"/>
        <w:adjustRightInd w:val="0"/>
        <w:rPr>
          <w:rFonts w:cs="Arial"/>
          <w:b/>
          <w:sz w:val="16"/>
          <w:szCs w:val="16"/>
        </w:rPr>
      </w:pPr>
      <w:r w:rsidRPr="00512403">
        <w:rPr>
          <w:rFonts w:cs="Arial"/>
          <w:sz w:val="16"/>
          <w:szCs w:val="16"/>
        </w:rPr>
        <w:t>2.1.1.9. Condiciones profesionales exigidas al personal interno o externo relacionad</w:t>
      </w:r>
      <w:r w:rsidR="004D098E">
        <w:rPr>
          <w:rFonts w:cs="Arial"/>
          <w:sz w:val="16"/>
          <w:szCs w:val="16"/>
        </w:rPr>
        <w:t>o</w:t>
      </w:r>
      <w:r w:rsidRPr="00512403">
        <w:rPr>
          <w:rFonts w:cs="Arial"/>
          <w:sz w:val="16"/>
          <w:szCs w:val="16"/>
        </w:rPr>
        <w:t xml:space="preserve"> </w:t>
      </w:r>
      <w:r w:rsidRPr="00512403">
        <w:rPr>
          <w:rFonts w:cs="Arial"/>
          <w:b/>
          <w:bCs/>
          <w:sz w:val="16"/>
          <w:szCs w:val="16"/>
        </w:rPr>
        <w:t xml:space="preserve">con </w:t>
      </w:r>
      <w:r w:rsidRPr="00512403" w:rsidR="00E06111">
        <w:rPr>
          <w:rFonts w:cs="Arial"/>
          <w:b/>
          <w:bCs/>
          <w:sz w:val="16"/>
          <w:szCs w:val="16"/>
        </w:rPr>
        <w:t xml:space="preserve">los procesos </w:t>
      </w:r>
      <w:r w:rsidRPr="00512403" w:rsidR="00D747A7">
        <w:rPr>
          <w:rFonts w:cs="Arial"/>
          <w:b/>
          <w:bCs/>
          <w:sz w:val="16"/>
          <w:szCs w:val="16"/>
        </w:rPr>
        <w:t xml:space="preserve">estratégicos, </w:t>
      </w:r>
      <w:r w:rsidRPr="00512403" w:rsidR="00D86A06">
        <w:rPr>
          <w:rFonts w:cs="Arial"/>
          <w:b/>
          <w:bCs/>
          <w:sz w:val="16"/>
          <w:szCs w:val="16"/>
        </w:rPr>
        <w:t>de inversiones</w:t>
      </w:r>
      <w:r w:rsidRPr="00512403" w:rsidR="0039193F">
        <w:rPr>
          <w:rFonts w:cs="Arial"/>
          <w:b/>
          <w:bCs/>
          <w:sz w:val="16"/>
          <w:szCs w:val="16"/>
        </w:rPr>
        <w:t xml:space="preserve">, </w:t>
      </w:r>
      <w:r w:rsidRPr="00512403" w:rsidR="00D86A06">
        <w:rPr>
          <w:rFonts w:cs="Arial"/>
          <w:b/>
          <w:bCs/>
          <w:sz w:val="16"/>
          <w:szCs w:val="16"/>
        </w:rPr>
        <w:t>supe</w:t>
      </w:r>
      <w:r w:rsidRPr="00512403" w:rsidR="00D86A06">
        <w:rPr>
          <w:rFonts w:cs="Arial"/>
          <w:b/>
          <w:sz w:val="16"/>
          <w:szCs w:val="16"/>
        </w:rPr>
        <w:t>rvisión</w:t>
      </w:r>
      <w:r w:rsidRPr="00512403" w:rsidR="00E03A79">
        <w:rPr>
          <w:rFonts w:cs="Arial"/>
          <w:b/>
          <w:sz w:val="16"/>
          <w:szCs w:val="16"/>
        </w:rPr>
        <w:t xml:space="preserve"> </w:t>
      </w:r>
      <w:r w:rsidRPr="00512403" w:rsidR="00C314A0">
        <w:rPr>
          <w:rFonts w:cs="Arial"/>
          <w:b/>
          <w:bCs/>
          <w:sz w:val="16"/>
          <w:szCs w:val="16"/>
        </w:rPr>
        <w:t xml:space="preserve">y gestión de riesgos, </w:t>
      </w:r>
      <w:r w:rsidRPr="00512403" w:rsidR="00E03A79">
        <w:rPr>
          <w:rFonts w:cs="Arial"/>
          <w:b/>
          <w:sz w:val="16"/>
          <w:szCs w:val="16"/>
        </w:rPr>
        <w:t>inclu</w:t>
      </w:r>
      <w:r w:rsidR="00FF1A74">
        <w:rPr>
          <w:rFonts w:cs="Arial"/>
          <w:b/>
          <w:sz w:val="16"/>
          <w:szCs w:val="16"/>
        </w:rPr>
        <w:t>yendo</w:t>
      </w:r>
      <w:r w:rsidRPr="00512403" w:rsidR="00E03A79">
        <w:rPr>
          <w:rFonts w:cs="Arial"/>
          <w:b/>
          <w:sz w:val="16"/>
          <w:szCs w:val="16"/>
        </w:rPr>
        <w:t xml:space="preserve"> </w:t>
      </w:r>
      <w:r w:rsidR="00B34818">
        <w:rPr>
          <w:rFonts w:cs="Arial"/>
          <w:b/>
          <w:sz w:val="16"/>
          <w:szCs w:val="16"/>
        </w:rPr>
        <w:t>aquellas condiciones</w:t>
      </w:r>
      <w:r w:rsidR="00707167">
        <w:rPr>
          <w:rFonts w:cs="Arial"/>
          <w:b/>
          <w:sz w:val="16"/>
          <w:szCs w:val="16"/>
        </w:rPr>
        <w:t xml:space="preserve"> profesionales</w:t>
      </w:r>
      <w:r w:rsidR="00B34818">
        <w:rPr>
          <w:rFonts w:cs="Arial"/>
          <w:b/>
          <w:sz w:val="16"/>
          <w:szCs w:val="16"/>
        </w:rPr>
        <w:t xml:space="preserve"> </w:t>
      </w:r>
      <w:r w:rsidRPr="00512403" w:rsidR="00000BD9">
        <w:rPr>
          <w:rFonts w:cs="Arial"/>
          <w:b/>
          <w:sz w:val="16"/>
          <w:szCs w:val="16"/>
        </w:rPr>
        <w:t xml:space="preserve">relativas </w:t>
      </w:r>
      <w:r w:rsidRPr="00512403" w:rsidR="001251D6">
        <w:rPr>
          <w:rFonts w:cs="Arial"/>
          <w:b/>
          <w:sz w:val="16"/>
          <w:szCs w:val="16"/>
        </w:rPr>
        <w:t>a los</w:t>
      </w:r>
      <w:r w:rsidRPr="00512403" w:rsidR="00E03A79">
        <w:rPr>
          <w:rFonts w:cs="Arial"/>
          <w:b/>
          <w:sz w:val="16"/>
          <w:szCs w:val="16"/>
        </w:rPr>
        <w:t xml:space="preserve"> riesgos y oportunidades </w:t>
      </w:r>
      <w:r w:rsidRPr="00512403" w:rsidR="001251D6">
        <w:rPr>
          <w:rFonts w:cs="Arial"/>
          <w:b/>
          <w:sz w:val="16"/>
          <w:szCs w:val="16"/>
        </w:rPr>
        <w:t>A</w:t>
      </w:r>
      <w:r w:rsidRPr="00512403" w:rsidR="00E03A79">
        <w:rPr>
          <w:rFonts w:cs="Arial"/>
          <w:b/>
          <w:sz w:val="16"/>
          <w:szCs w:val="16"/>
        </w:rPr>
        <w:t>SG y climáticos.</w:t>
      </w:r>
    </w:p>
    <w:p w:rsidR="00BC5F98" w:rsidRPr="00512403" w:rsidP="00846F12" w14:paraId="0B6F9997" w14:textId="77777777">
      <w:pPr>
        <w:pBdr>
          <w:left w:val="single" w:sz="4" w:space="4" w:color="auto"/>
        </w:pBdr>
        <w:autoSpaceDE w:val="0"/>
        <w:autoSpaceDN w:val="0"/>
        <w:adjustRightInd w:val="0"/>
        <w:rPr>
          <w:rFonts w:cs="Arial"/>
          <w:b/>
          <w:bCs/>
          <w:sz w:val="16"/>
          <w:szCs w:val="16"/>
        </w:rPr>
      </w:pPr>
    </w:p>
    <w:p w:rsidR="00C314A0" w:rsidRPr="00512403" w:rsidP="00846F12" w14:paraId="71A57BC7" w14:textId="4C840294">
      <w:pPr>
        <w:pBdr>
          <w:left w:val="single" w:sz="4" w:space="4" w:color="auto"/>
        </w:pBdr>
        <w:autoSpaceDE w:val="0"/>
        <w:autoSpaceDN w:val="0"/>
        <w:adjustRightInd w:val="0"/>
        <w:rPr>
          <w:rFonts w:cs="Arial"/>
          <w:sz w:val="16"/>
          <w:szCs w:val="16"/>
        </w:rPr>
      </w:pPr>
      <w:r w:rsidRPr="00512403">
        <w:rPr>
          <w:rFonts w:cs="Arial"/>
          <w:b/>
          <w:bCs/>
          <w:sz w:val="16"/>
          <w:szCs w:val="16"/>
        </w:rPr>
        <w:t>Asimismo</w:t>
      </w:r>
      <w:r w:rsidR="0045411D">
        <w:rPr>
          <w:rFonts w:cs="Arial"/>
          <w:b/>
          <w:bCs/>
          <w:sz w:val="16"/>
          <w:szCs w:val="16"/>
        </w:rPr>
        <w:t>,</w:t>
      </w:r>
      <w:r w:rsidRPr="00512403">
        <w:rPr>
          <w:rFonts w:cs="Arial"/>
          <w:b/>
          <w:bCs/>
          <w:sz w:val="16"/>
          <w:szCs w:val="16"/>
        </w:rPr>
        <w:t xml:space="preserve"> se debe</w:t>
      </w:r>
      <w:r w:rsidRPr="000F4C38" w:rsidR="00A33EB5">
        <w:rPr>
          <w:rFonts w:cs="Arial"/>
          <w:b/>
          <w:bCs/>
          <w:sz w:val="16"/>
          <w:szCs w:val="16"/>
        </w:rPr>
        <w:t>n</w:t>
      </w:r>
      <w:r w:rsidRPr="00512403">
        <w:rPr>
          <w:rFonts w:cs="Arial"/>
          <w:b/>
          <w:bCs/>
          <w:sz w:val="16"/>
          <w:szCs w:val="16"/>
        </w:rPr>
        <w:t xml:space="preserve"> incluir</w:t>
      </w:r>
      <w:r w:rsidRPr="00512403" w:rsidR="00526915">
        <w:rPr>
          <w:rFonts w:cs="Arial"/>
          <w:b/>
          <w:bCs/>
          <w:sz w:val="16"/>
          <w:szCs w:val="16"/>
        </w:rPr>
        <w:t xml:space="preserve"> </w:t>
      </w:r>
      <w:r w:rsidR="000A3123">
        <w:rPr>
          <w:rFonts w:cs="Arial"/>
          <w:b/>
          <w:bCs/>
          <w:sz w:val="16"/>
          <w:szCs w:val="16"/>
        </w:rPr>
        <w:t xml:space="preserve">las </w:t>
      </w:r>
      <w:r w:rsidRPr="000F4C38" w:rsidR="00A33EB5">
        <w:rPr>
          <w:rFonts w:cs="Arial"/>
          <w:b/>
          <w:bCs/>
          <w:sz w:val="16"/>
          <w:szCs w:val="16"/>
        </w:rPr>
        <w:t xml:space="preserve">políticas para </w:t>
      </w:r>
      <w:r w:rsidRPr="00512403" w:rsidR="00526915">
        <w:rPr>
          <w:rFonts w:cs="Arial"/>
          <w:b/>
          <w:bCs/>
          <w:sz w:val="16"/>
          <w:szCs w:val="16"/>
        </w:rPr>
        <w:t>la capacitaci</w:t>
      </w:r>
      <w:r w:rsidR="000A3123">
        <w:rPr>
          <w:rFonts w:cs="Arial"/>
          <w:b/>
          <w:bCs/>
          <w:sz w:val="16"/>
          <w:szCs w:val="16"/>
        </w:rPr>
        <w:t>ó</w:t>
      </w:r>
      <w:r w:rsidRPr="00512403" w:rsidR="00526915">
        <w:rPr>
          <w:rFonts w:cs="Arial"/>
          <w:b/>
          <w:bCs/>
          <w:sz w:val="16"/>
          <w:szCs w:val="16"/>
        </w:rPr>
        <w:t>n</w:t>
      </w:r>
      <w:r w:rsidR="000A3123">
        <w:rPr>
          <w:rFonts w:cs="Arial"/>
          <w:b/>
          <w:bCs/>
          <w:sz w:val="16"/>
          <w:szCs w:val="16"/>
        </w:rPr>
        <w:t xml:space="preserve"> </w:t>
      </w:r>
      <w:r w:rsidR="007C1148">
        <w:rPr>
          <w:rFonts w:cs="Arial"/>
          <w:b/>
          <w:bCs/>
          <w:sz w:val="16"/>
          <w:szCs w:val="16"/>
        </w:rPr>
        <w:t>de</w:t>
      </w:r>
      <w:r w:rsidRPr="00512403" w:rsidR="00732DDF">
        <w:rPr>
          <w:rFonts w:cs="Arial"/>
          <w:b/>
          <w:bCs/>
          <w:sz w:val="16"/>
          <w:szCs w:val="16"/>
        </w:rPr>
        <w:t xml:space="preserve"> las personas </w:t>
      </w:r>
      <w:r w:rsidRPr="00512403" w:rsidR="005E3067">
        <w:rPr>
          <w:rFonts w:cs="Arial"/>
          <w:b/>
          <w:bCs/>
          <w:sz w:val="16"/>
          <w:szCs w:val="16"/>
        </w:rPr>
        <w:t>involucrad</w:t>
      </w:r>
      <w:r w:rsidRPr="00512403" w:rsidR="00732DDF">
        <w:rPr>
          <w:rFonts w:cs="Arial"/>
          <w:b/>
          <w:bCs/>
          <w:sz w:val="16"/>
          <w:szCs w:val="16"/>
        </w:rPr>
        <w:t xml:space="preserve">as </w:t>
      </w:r>
      <w:r w:rsidRPr="00512403" w:rsidR="005E3067">
        <w:rPr>
          <w:rFonts w:cs="Arial"/>
          <w:b/>
          <w:bCs/>
          <w:sz w:val="16"/>
          <w:szCs w:val="16"/>
        </w:rPr>
        <w:t>en el proceso de inversiones</w:t>
      </w:r>
      <w:r w:rsidRPr="000F4C38" w:rsidR="0081280A">
        <w:rPr>
          <w:rFonts w:cs="Arial"/>
          <w:b/>
          <w:bCs/>
          <w:sz w:val="16"/>
          <w:szCs w:val="16"/>
        </w:rPr>
        <w:t xml:space="preserve">, incluyendo los miembros de </w:t>
      </w:r>
      <w:r w:rsidRPr="000F4C38" w:rsidR="00387E48">
        <w:rPr>
          <w:rFonts w:cs="Arial"/>
          <w:b/>
          <w:bCs/>
          <w:sz w:val="16"/>
          <w:szCs w:val="16"/>
        </w:rPr>
        <w:t xml:space="preserve">la junta directiva y </w:t>
      </w:r>
      <w:r w:rsidR="00087DFF">
        <w:rPr>
          <w:rFonts w:cs="Arial"/>
          <w:b/>
          <w:bCs/>
          <w:sz w:val="16"/>
          <w:szCs w:val="16"/>
        </w:rPr>
        <w:t xml:space="preserve">de </w:t>
      </w:r>
      <w:r w:rsidRPr="000F4C38" w:rsidR="00387E48">
        <w:rPr>
          <w:rFonts w:cs="Arial"/>
          <w:b/>
          <w:bCs/>
          <w:sz w:val="16"/>
          <w:szCs w:val="16"/>
        </w:rPr>
        <w:t>los comités de riesgos e inversiones,</w:t>
      </w:r>
      <w:r w:rsidRPr="00512403" w:rsidR="00732DDF">
        <w:rPr>
          <w:rFonts w:cs="Arial"/>
          <w:b/>
          <w:bCs/>
          <w:sz w:val="16"/>
          <w:szCs w:val="16"/>
        </w:rPr>
        <w:t xml:space="preserve"> </w:t>
      </w:r>
      <w:r w:rsidRPr="00512403" w:rsidR="005E3067">
        <w:rPr>
          <w:rFonts w:cs="Arial"/>
          <w:b/>
          <w:bCs/>
          <w:sz w:val="16"/>
          <w:szCs w:val="16"/>
        </w:rPr>
        <w:t xml:space="preserve">en </w:t>
      </w:r>
      <w:r w:rsidRPr="000F4C38" w:rsidR="00BD51EA">
        <w:rPr>
          <w:rFonts w:cs="Arial"/>
          <w:b/>
          <w:bCs/>
          <w:sz w:val="16"/>
          <w:szCs w:val="16"/>
        </w:rPr>
        <w:t>aquellas</w:t>
      </w:r>
      <w:r w:rsidRPr="00512403" w:rsidR="005E3067">
        <w:rPr>
          <w:rFonts w:cs="Arial"/>
          <w:b/>
          <w:bCs/>
          <w:sz w:val="16"/>
          <w:szCs w:val="16"/>
        </w:rPr>
        <w:t xml:space="preserve"> materias que resulten </w:t>
      </w:r>
      <w:r w:rsidRPr="00512403" w:rsidR="00172655">
        <w:rPr>
          <w:rFonts w:cs="Arial"/>
          <w:b/>
          <w:bCs/>
          <w:sz w:val="16"/>
          <w:szCs w:val="16"/>
        </w:rPr>
        <w:t xml:space="preserve">relevantes para </w:t>
      </w:r>
      <w:r w:rsidRPr="00512403" w:rsidR="00CE205E">
        <w:rPr>
          <w:rFonts w:cs="Arial"/>
          <w:b/>
          <w:bCs/>
          <w:sz w:val="16"/>
          <w:szCs w:val="16"/>
        </w:rPr>
        <w:t xml:space="preserve">contar </w:t>
      </w:r>
      <w:r w:rsidRPr="000F4C38" w:rsidR="0081280A">
        <w:rPr>
          <w:rFonts w:cs="Arial"/>
          <w:b/>
          <w:bCs/>
          <w:sz w:val="16"/>
          <w:szCs w:val="16"/>
        </w:rPr>
        <w:t xml:space="preserve">con conocimientos actualizados </w:t>
      </w:r>
      <w:r w:rsidR="006D59C9">
        <w:rPr>
          <w:rFonts w:cs="Arial"/>
          <w:b/>
          <w:bCs/>
          <w:sz w:val="16"/>
          <w:szCs w:val="16"/>
        </w:rPr>
        <w:t xml:space="preserve">necesarios </w:t>
      </w:r>
      <w:r w:rsidRPr="000F4C38" w:rsidR="0081280A">
        <w:rPr>
          <w:rFonts w:cs="Arial"/>
          <w:b/>
          <w:bCs/>
          <w:sz w:val="16"/>
          <w:szCs w:val="16"/>
        </w:rPr>
        <w:t xml:space="preserve">para </w:t>
      </w:r>
      <w:r w:rsidRPr="00512403" w:rsidR="0067442B">
        <w:rPr>
          <w:rFonts w:cs="Arial"/>
          <w:b/>
          <w:bCs/>
          <w:sz w:val="16"/>
          <w:szCs w:val="16"/>
        </w:rPr>
        <w:t>el desarrollo de sus funciones</w:t>
      </w:r>
      <w:r w:rsidRPr="00512403" w:rsidR="003315E0">
        <w:rPr>
          <w:rFonts w:cs="Arial"/>
          <w:b/>
          <w:bCs/>
          <w:sz w:val="16"/>
          <w:szCs w:val="16"/>
        </w:rPr>
        <w:t>.</w:t>
      </w:r>
      <w:r w:rsidRPr="00512403" w:rsidR="00732DDF">
        <w:rPr>
          <w:rFonts w:cs="Arial"/>
          <w:b/>
          <w:bCs/>
          <w:sz w:val="16"/>
          <w:szCs w:val="16"/>
        </w:rPr>
        <w:t xml:space="preserve"> </w:t>
      </w:r>
    </w:p>
    <w:p w:rsidR="000C531B" w:rsidRPr="00512403" w:rsidP="000C531B" w14:paraId="2FDCB096" w14:textId="77777777">
      <w:pPr>
        <w:tabs>
          <w:tab w:val="num" w:pos="720"/>
        </w:tabs>
        <w:autoSpaceDE w:val="0"/>
        <w:autoSpaceDN w:val="0"/>
        <w:adjustRightInd w:val="0"/>
        <w:ind w:left="720" w:hanging="720"/>
        <w:rPr>
          <w:rFonts w:cs="Arial"/>
          <w:sz w:val="14"/>
          <w:szCs w:val="16"/>
        </w:rPr>
      </w:pPr>
    </w:p>
    <w:p w:rsidR="00963F0A" w:rsidRPr="00512403" w:rsidP="000C531B" w14:paraId="422E3649" w14:textId="0A8936F3">
      <w:pPr>
        <w:pBdr>
          <w:left w:val="single" w:sz="4" w:space="4" w:color="auto"/>
        </w:pBdr>
        <w:autoSpaceDE w:val="0"/>
        <w:autoSpaceDN w:val="0"/>
        <w:adjustRightInd w:val="0"/>
        <w:rPr>
          <w:rFonts w:cs="Arial"/>
          <w:b/>
          <w:bCs/>
          <w:sz w:val="16"/>
          <w:szCs w:val="16"/>
        </w:rPr>
      </w:pPr>
      <w:r w:rsidRPr="00512403">
        <w:rPr>
          <w:rFonts w:cs="Arial"/>
          <w:sz w:val="16"/>
          <w:szCs w:val="16"/>
        </w:rPr>
        <w:t xml:space="preserve">2.1.1.10. Principales límites internos de inversión </w:t>
      </w:r>
      <w:r w:rsidRPr="007309CC" w:rsidR="007A77D5">
        <w:rPr>
          <w:rFonts w:cs="Arial"/>
          <w:b/>
          <w:bCs/>
          <w:sz w:val="16"/>
          <w:szCs w:val="16"/>
        </w:rPr>
        <w:t>para</w:t>
      </w:r>
      <w:r w:rsidRPr="007309CC" w:rsidR="00DB05D3">
        <w:rPr>
          <w:rFonts w:cs="Arial"/>
          <w:b/>
          <w:bCs/>
          <w:sz w:val="16"/>
          <w:szCs w:val="16"/>
        </w:rPr>
        <w:t xml:space="preserve"> los</w:t>
      </w:r>
      <w:r w:rsidRPr="00512403" w:rsidR="00DB05D3">
        <w:rPr>
          <w:rFonts w:cs="Arial"/>
          <w:b/>
          <w:bCs/>
          <w:sz w:val="16"/>
          <w:szCs w:val="16"/>
        </w:rPr>
        <w:t xml:space="preserve"> diferentes tipos de fondos de pensiones obligatorias</w:t>
      </w:r>
      <w:r w:rsidRPr="00512403" w:rsidR="00B276F4">
        <w:rPr>
          <w:rFonts w:cs="Arial"/>
          <w:b/>
          <w:bCs/>
          <w:sz w:val="16"/>
          <w:szCs w:val="16"/>
        </w:rPr>
        <w:t xml:space="preserve"> y </w:t>
      </w:r>
      <w:r w:rsidR="002A0C2B">
        <w:rPr>
          <w:rFonts w:cs="Arial"/>
          <w:b/>
          <w:bCs/>
          <w:sz w:val="16"/>
          <w:szCs w:val="16"/>
        </w:rPr>
        <w:t xml:space="preserve">de </w:t>
      </w:r>
      <w:r w:rsidRPr="00512403" w:rsidR="00B276F4">
        <w:rPr>
          <w:rFonts w:cs="Arial"/>
          <w:b/>
          <w:bCs/>
          <w:sz w:val="16"/>
          <w:szCs w:val="16"/>
        </w:rPr>
        <w:t>los portafolios del fondo de cesantías.</w:t>
      </w:r>
    </w:p>
    <w:p w:rsidR="00CD43A1" w:rsidRPr="00512403" w:rsidP="000C531B" w14:paraId="49CB5BB9" w14:textId="198A9A1B">
      <w:pPr>
        <w:pBdr>
          <w:left w:val="single" w:sz="4" w:space="4" w:color="auto"/>
        </w:pBdr>
        <w:autoSpaceDE w:val="0"/>
        <w:autoSpaceDN w:val="0"/>
        <w:adjustRightInd w:val="0"/>
        <w:rPr>
          <w:rFonts w:cs="Arial"/>
          <w:b/>
          <w:bCs/>
          <w:sz w:val="16"/>
          <w:szCs w:val="16"/>
        </w:rPr>
      </w:pPr>
    </w:p>
    <w:p w:rsidR="00B276F4" w:rsidRPr="00512403" w:rsidP="000C531B" w14:paraId="05D62813" w14:textId="13C4071C">
      <w:pPr>
        <w:pBdr>
          <w:left w:val="single" w:sz="4" w:space="4" w:color="auto"/>
        </w:pBdr>
        <w:autoSpaceDE w:val="0"/>
        <w:autoSpaceDN w:val="0"/>
        <w:adjustRightInd w:val="0"/>
        <w:rPr>
          <w:rFonts w:cs="Arial"/>
          <w:b/>
          <w:bCs/>
          <w:sz w:val="16"/>
          <w:szCs w:val="16"/>
        </w:rPr>
      </w:pPr>
      <w:r w:rsidRPr="00512403">
        <w:rPr>
          <w:rFonts w:cs="Arial"/>
          <w:b/>
          <w:bCs/>
          <w:sz w:val="16"/>
          <w:szCs w:val="16"/>
        </w:rPr>
        <w:t xml:space="preserve">Adicionalmente, </w:t>
      </w:r>
      <w:r w:rsidRPr="00512403" w:rsidR="00737446">
        <w:rPr>
          <w:rFonts w:cs="Arial"/>
          <w:b/>
          <w:bCs/>
          <w:sz w:val="16"/>
          <w:szCs w:val="16"/>
        </w:rPr>
        <w:t>s</w:t>
      </w:r>
      <w:r w:rsidRPr="00512403" w:rsidR="00CD43A1">
        <w:rPr>
          <w:rFonts w:cs="Arial"/>
          <w:b/>
          <w:bCs/>
          <w:sz w:val="16"/>
          <w:szCs w:val="16"/>
        </w:rPr>
        <w:t>e debe</w:t>
      </w:r>
      <w:r w:rsidRPr="00512403" w:rsidR="00737446">
        <w:rPr>
          <w:rFonts w:cs="Arial"/>
          <w:b/>
          <w:bCs/>
          <w:sz w:val="16"/>
          <w:szCs w:val="16"/>
        </w:rPr>
        <w:t>n</w:t>
      </w:r>
      <w:r w:rsidRPr="00512403" w:rsidR="00CD43A1">
        <w:rPr>
          <w:rFonts w:cs="Arial"/>
          <w:b/>
          <w:bCs/>
          <w:sz w:val="16"/>
          <w:szCs w:val="16"/>
        </w:rPr>
        <w:t xml:space="preserve"> incluir los </w:t>
      </w:r>
      <w:r w:rsidRPr="00512403" w:rsidR="001F050D">
        <w:rPr>
          <w:rFonts w:cs="Arial"/>
          <w:b/>
          <w:bCs/>
          <w:sz w:val="16"/>
          <w:szCs w:val="16"/>
        </w:rPr>
        <w:t>lí</w:t>
      </w:r>
      <w:r w:rsidRPr="00512403" w:rsidR="00CD43A1">
        <w:rPr>
          <w:rFonts w:cs="Arial"/>
          <w:b/>
          <w:bCs/>
          <w:sz w:val="16"/>
          <w:szCs w:val="16"/>
        </w:rPr>
        <w:t xml:space="preserve">mites internos </w:t>
      </w:r>
      <w:r w:rsidRPr="00512403" w:rsidR="00CF20B5">
        <w:rPr>
          <w:rFonts w:cs="Arial"/>
          <w:b/>
          <w:bCs/>
          <w:sz w:val="16"/>
          <w:szCs w:val="16"/>
        </w:rPr>
        <w:t xml:space="preserve">aplicables </w:t>
      </w:r>
      <w:r w:rsidRPr="00512403" w:rsidR="00A979DF">
        <w:rPr>
          <w:rFonts w:cs="Arial"/>
          <w:b/>
          <w:bCs/>
          <w:sz w:val="16"/>
          <w:szCs w:val="16"/>
        </w:rPr>
        <w:t>a</w:t>
      </w:r>
      <w:r w:rsidRPr="00512403" w:rsidR="00CD43A1">
        <w:rPr>
          <w:rFonts w:cs="Arial"/>
          <w:b/>
          <w:bCs/>
          <w:sz w:val="16"/>
          <w:szCs w:val="16"/>
        </w:rPr>
        <w:t xml:space="preserve"> la suma de los recursos de todos los tipos de fondos de pensiones obligatorias administrados</w:t>
      </w:r>
      <w:r w:rsidR="006F093E">
        <w:rPr>
          <w:rFonts w:cs="Arial"/>
          <w:b/>
          <w:bCs/>
          <w:sz w:val="16"/>
          <w:szCs w:val="16"/>
        </w:rPr>
        <w:t>,</w:t>
      </w:r>
      <w:r w:rsidRPr="00512403" w:rsidR="00A979DF">
        <w:rPr>
          <w:rFonts w:cs="Arial"/>
          <w:b/>
          <w:bCs/>
          <w:sz w:val="16"/>
          <w:szCs w:val="16"/>
        </w:rPr>
        <w:t xml:space="preserve"> o </w:t>
      </w:r>
      <w:r w:rsidRPr="000F4C38" w:rsidR="00A979DF">
        <w:rPr>
          <w:rFonts w:cs="Arial"/>
          <w:b/>
          <w:bCs/>
          <w:sz w:val="16"/>
          <w:szCs w:val="16"/>
        </w:rPr>
        <w:t>a la suma de los portafolios de corto y largo plazo del fondo de cesantía</w:t>
      </w:r>
      <w:r w:rsidRPr="00512403" w:rsidR="00620326">
        <w:rPr>
          <w:rFonts w:cs="Arial"/>
          <w:b/>
          <w:bCs/>
          <w:sz w:val="16"/>
          <w:szCs w:val="16"/>
        </w:rPr>
        <w:t>, en los casos que aplique</w:t>
      </w:r>
      <w:r w:rsidR="00304844">
        <w:rPr>
          <w:rFonts w:cs="Arial"/>
          <w:b/>
          <w:bCs/>
          <w:sz w:val="16"/>
          <w:szCs w:val="16"/>
        </w:rPr>
        <w:t>,</w:t>
      </w:r>
      <w:r w:rsidRPr="00512403" w:rsidR="00620326">
        <w:rPr>
          <w:rFonts w:cs="Arial"/>
          <w:b/>
          <w:bCs/>
          <w:sz w:val="16"/>
          <w:szCs w:val="16"/>
        </w:rPr>
        <w:t xml:space="preserve"> de acuerdo con el régimen de inversiones establecido en el Titulo 12 del Libro 6 de la Parte 2 del Decreto 2555 de 2010</w:t>
      </w:r>
      <w:r w:rsidRPr="00512403" w:rsidR="003F5BEA">
        <w:rPr>
          <w:rFonts w:cs="Arial"/>
          <w:b/>
          <w:bCs/>
          <w:sz w:val="16"/>
          <w:szCs w:val="16"/>
        </w:rPr>
        <w:t>.</w:t>
      </w:r>
    </w:p>
    <w:p w:rsidR="005833E7" w:rsidRPr="00512403" w:rsidP="000C531B" w14:paraId="55A49B70" w14:textId="77777777">
      <w:pPr>
        <w:pBdr>
          <w:left w:val="single" w:sz="4" w:space="4" w:color="auto"/>
        </w:pBdr>
        <w:autoSpaceDE w:val="0"/>
        <w:autoSpaceDN w:val="0"/>
        <w:adjustRightInd w:val="0"/>
        <w:rPr>
          <w:rFonts w:cs="Arial"/>
          <w:sz w:val="16"/>
          <w:szCs w:val="16"/>
        </w:rPr>
      </w:pPr>
    </w:p>
    <w:p w:rsidR="00385509" w:rsidRPr="00512403" w:rsidP="000C531B" w14:paraId="353E377D" w14:textId="0CA35A06">
      <w:pPr>
        <w:pBdr>
          <w:left w:val="single" w:sz="4" w:space="4" w:color="auto"/>
        </w:pBdr>
        <w:autoSpaceDE w:val="0"/>
        <w:autoSpaceDN w:val="0"/>
        <w:adjustRightInd w:val="0"/>
        <w:rPr>
          <w:rFonts w:cs="Arial"/>
          <w:b/>
          <w:sz w:val="16"/>
          <w:szCs w:val="16"/>
        </w:rPr>
      </w:pPr>
      <w:r>
        <w:rPr>
          <w:rFonts w:cs="Arial"/>
          <w:b/>
          <w:sz w:val="16"/>
          <w:szCs w:val="16"/>
        </w:rPr>
        <w:t>Así mismo, s</w:t>
      </w:r>
      <w:r w:rsidRPr="00512403" w:rsidR="004523F8">
        <w:rPr>
          <w:rFonts w:cs="Arial"/>
          <w:b/>
          <w:sz w:val="16"/>
          <w:szCs w:val="16"/>
        </w:rPr>
        <w:t>e</w:t>
      </w:r>
      <w:r w:rsidRPr="00512403" w:rsidR="00A56AA6">
        <w:rPr>
          <w:rFonts w:cs="Arial"/>
          <w:b/>
          <w:sz w:val="16"/>
          <w:szCs w:val="16"/>
        </w:rPr>
        <w:t xml:space="preserve"> d</w:t>
      </w:r>
      <w:r w:rsidRPr="00512403" w:rsidR="000C531B">
        <w:rPr>
          <w:rFonts w:cs="Arial"/>
          <w:b/>
          <w:sz w:val="16"/>
          <w:szCs w:val="16"/>
        </w:rPr>
        <w:t xml:space="preserve">ebe describir de manera clara </w:t>
      </w:r>
      <w:r w:rsidRPr="00512403" w:rsidR="00D86A06">
        <w:rPr>
          <w:rFonts w:cs="Arial"/>
          <w:b/>
          <w:sz w:val="16"/>
          <w:szCs w:val="16"/>
        </w:rPr>
        <w:t>la</w:t>
      </w:r>
      <w:r w:rsidRPr="00512403" w:rsidR="000C531B">
        <w:rPr>
          <w:rFonts w:cs="Arial"/>
          <w:b/>
          <w:sz w:val="16"/>
          <w:szCs w:val="16"/>
        </w:rPr>
        <w:t xml:space="preserve"> consistencia entre estos límites y los objetivos del fondo</w:t>
      </w:r>
      <w:r w:rsidRPr="00512403" w:rsidR="00A534CF">
        <w:rPr>
          <w:rFonts w:cs="Arial"/>
          <w:b/>
          <w:sz w:val="16"/>
          <w:szCs w:val="16"/>
        </w:rPr>
        <w:t xml:space="preserve"> o portafolio</w:t>
      </w:r>
      <w:r w:rsidRPr="00512403" w:rsidR="004523F8">
        <w:rPr>
          <w:rFonts w:cs="Arial"/>
          <w:b/>
          <w:sz w:val="16"/>
          <w:szCs w:val="16"/>
        </w:rPr>
        <w:t xml:space="preserve">, así como la </w:t>
      </w:r>
      <w:r w:rsidRPr="00512403" w:rsidR="00A56AA6">
        <w:rPr>
          <w:rFonts w:cs="Arial"/>
          <w:b/>
          <w:sz w:val="16"/>
          <w:szCs w:val="16"/>
        </w:rPr>
        <w:t>metodología</w:t>
      </w:r>
      <w:r w:rsidRPr="00512403" w:rsidR="004523F8">
        <w:rPr>
          <w:rFonts w:cs="Arial"/>
          <w:b/>
          <w:sz w:val="16"/>
          <w:szCs w:val="16"/>
        </w:rPr>
        <w:t xml:space="preserve"> </w:t>
      </w:r>
      <w:r w:rsidRPr="00512403" w:rsidR="00471B03">
        <w:rPr>
          <w:rFonts w:cs="Arial"/>
          <w:b/>
          <w:sz w:val="16"/>
          <w:szCs w:val="16"/>
        </w:rPr>
        <w:t>general que se utiliz</w:t>
      </w:r>
      <w:r w:rsidRPr="00512403" w:rsidR="00356881">
        <w:rPr>
          <w:rFonts w:cs="Arial"/>
          <w:b/>
          <w:sz w:val="16"/>
          <w:szCs w:val="16"/>
        </w:rPr>
        <w:t xml:space="preserve">ó </w:t>
      </w:r>
      <w:r w:rsidRPr="00512403" w:rsidR="004523F8">
        <w:rPr>
          <w:rFonts w:cs="Arial"/>
          <w:b/>
          <w:sz w:val="16"/>
          <w:szCs w:val="16"/>
        </w:rPr>
        <w:t>para</w:t>
      </w:r>
      <w:r w:rsidRPr="00512403">
        <w:rPr>
          <w:rFonts w:cs="Arial"/>
          <w:sz w:val="16"/>
          <w:szCs w:val="16"/>
        </w:rPr>
        <w:t xml:space="preserve"> </w:t>
      </w:r>
      <w:r w:rsidRPr="00512403">
        <w:rPr>
          <w:rFonts w:cs="Arial"/>
          <w:b/>
          <w:bCs/>
          <w:sz w:val="16"/>
          <w:szCs w:val="16"/>
        </w:rPr>
        <w:t xml:space="preserve">determinar las </w:t>
      </w:r>
      <w:r w:rsidRPr="00512403" w:rsidR="004202C9">
        <w:rPr>
          <w:rFonts w:cs="Arial"/>
          <w:b/>
          <w:bCs/>
          <w:sz w:val="16"/>
          <w:szCs w:val="16"/>
        </w:rPr>
        <w:t xml:space="preserve">clases de activos y/o factores de riesgo </w:t>
      </w:r>
      <w:r w:rsidRPr="00512403" w:rsidR="00B9746C">
        <w:rPr>
          <w:rFonts w:cs="Arial"/>
          <w:b/>
          <w:bCs/>
          <w:sz w:val="16"/>
          <w:szCs w:val="16"/>
        </w:rPr>
        <w:t>asociados a los l</w:t>
      </w:r>
      <w:r w:rsidRPr="00512403" w:rsidR="00297B5A">
        <w:rPr>
          <w:rFonts w:cs="Arial"/>
          <w:b/>
          <w:bCs/>
          <w:sz w:val="16"/>
          <w:szCs w:val="16"/>
        </w:rPr>
        <w:t>í</w:t>
      </w:r>
      <w:r w:rsidRPr="00512403" w:rsidR="00B9746C">
        <w:rPr>
          <w:rFonts w:cs="Arial"/>
          <w:b/>
          <w:bCs/>
          <w:sz w:val="16"/>
          <w:szCs w:val="16"/>
        </w:rPr>
        <w:t>mites internos de inversión.</w:t>
      </w:r>
      <w:r w:rsidRPr="00512403" w:rsidR="00B9746C">
        <w:rPr>
          <w:rFonts w:cs="Arial"/>
          <w:sz w:val="16"/>
          <w:szCs w:val="16"/>
        </w:rPr>
        <w:t xml:space="preserve"> </w:t>
      </w:r>
      <w:r w:rsidRPr="006E1ACD" w:rsidR="006E1ACD">
        <w:rPr>
          <w:rFonts w:cs="Arial"/>
          <w:b/>
          <w:bCs/>
          <w:sz w:val="16"/>
          <w:szCs w:val="16"/>
        </w:rPr>
        <w:t xml:space="preserve">También </w:t>
      </w:r>
      <w:r w:rsidRPr="006E1ACD" w:rsidR="003671C5">
        <w:rPr>
          <w:rFonts w:cs="Arial"/>
          <w:b/>
          <w:bCs/>
          <w:sz w:val="16"/>
          <w:szCs w:val="16"/>
        </w:rPr>
        <w:t>se</w:t>
      </w:r>
      <w:r w:rsidRPr="00512403" w:rsidR="003671C5">
        <w:rPr>
          <w:rFonts w:cs="Arial"/>
          <w:b/>
          <w:bCs/>
          <w:sz w:val="16"/>
          <w:szCs w:val="16"/>
        </w:rPr>
        <w:t xml:space="preserve"> deben incluir las políticas y criterios </w:t>
      </w:r>
      <w:r w:rsidRPr="00512403" w:rsidR="00471B03">
        <w:rPr>
          <w:rFonts w:cs="Arial"/>
          <w:b/>
          <w:bCs/>
          <w:sz w:val="16"/>
          <w:szCs w:val="16"/>
        </w:rPr>
        <w:t xml:space="preserve">generales </w:t>
      </w:r>
      <w:r w:rsidRPr="00512403" w:rsidR="003671C5">
        <w:rPr>
          <w:rFonts w:cs="Arial"/>
          <w:b/>
          <w:bCs/>
          <w:sz w:val="16"/>
          <w:szCs w:val="16"/>
        </w:rPr>
        <w:t>que se deben cumplir para la modificación de los l</w:t>
      </w:r>
      <w:r w:rsidRPr="00512403" w:rsidR="00CB2F2D">
        <w:rPr>
          <w:rFonts w:cs="Arial"/>
          <w:b/>
          <w:bCs/>
          <w:sz w:val="16"/>
          <w:szCs w:val="16"/>
        </w:rPr>
        <w:t>í</w:t>
      </w:r>
      <w:r w:rsidRPr="00512403" w:rsidR="003671C5">
        <w:rPr>
          <w:rFonts w:cs="Arial"/>
          <w:b/>
          <w:bCs/>
          <w:sz w:val="16"/>
          <w:szCs w:val="16"/>
        </w:rPr>
        <w:t>mites internos.</w:t>
      </w:r>
      <w:r w:rsidRPr="00512403" w:rsidR="003671C5">
        <w:rPr>
          <w:rFonts w:cs="Arial"/>
          <w:sz w:val="16"/>
          <w:szCs w:val="16"/>
        </w:rPr>
        <w:t xml:space="preserve"> </w:t>
      </w:r>
      <w:r w:rsidRPr="00512403" w:rsidR="00893175">
        <w:rPr>
          <w:rFonts w:cs="Arial"/>
          <w:b/>
          <w:bCs/>
          <w:sz w:val="16"/>
          <w:szCs w:val="16"/>
        </w:rPr>
        <w:t>En todo caso</w:t>
      </w:r>
      <w:r w:rsidR="00E43C28">
        <w:rPr>
          <w:rFonts w:cs="Arial"/>
          <w:b/>
          <w:bCs/>
          <w:sz w:val="16"/>
          <w:szCs w:val="16"/>
        </w:rPr>
        <w:t>,</w:t>
      </w:r>
      <w:r w:rsidRPr="00512403" w:rsidR="00893175">
        <w:rPr>
          <w:rFonts w:cs="Arial"/>
          <w:b/>
          <w:bCs/>
          <w:sz w:val="16"/>
          <w:szCs w:val="16"/>
        </w:rPr>
        <w:t xml:space="preserve"> </w:t>
      </w:r>
      <w:r w:rsidRPr="00512403" w:rsidR="002A309C">
        <w:rPr>
          <w:rFonts w:cs="Arial"/>
          <w:b/>
          <w:bCs/>
          <w:sz w:val="16"/>
          <w:szCs w:val="16"/>
        </w:rPr>
        <w:t xml:space="preserve">los </w:t>
      </w:r>
      <w:r w:rsidRPr="00512403" w:rsidR="002A309C">
        <w:rPr>
          <w:b/>
          <w:bCs/>
          <w:sz w:val="16"/>
          <w:szCs w:val="16"/>
        </w:rPr>
        <w:t>excesos o defectos</w:t>
      </w:r>
      <w:r w:rsidRPr="00512403" w:rsidR="00893175">
        <w:rPr>
          <w:rFonts w:cs="Arial"/>
          <w:b/>
          <w:bCs/>
          <w:sz w:val="16"/>
          <w:szCs w:val="16"/>
        </w:rPr>
        <w:t xml:space="preserve"> de un límite no puede ser un criterio necesario ni suficiente para la modificación </w:t>
      </w:r>
      <w:r w:rsidRPr="00512403" w:rsidR="009E7FE3">
        <w:rPr>
          <w:rFonts w:cs="Arial"/>
          <w:b/>
          <w:bCs/>
          <w:sz w:val="16"/>
          <w:szCs w:val="16"/>
        </w:rPr>
        <w:t>de este.</w:t>
      </w:r>
    </w:p>
    <w:p w:rsidR="004A66D8" w:rsidRPr="00512403" w:rsidP="000C531B" w14:paraId="12339BAC" w14:textId="60E7C656">
      <w:pPr>
        <w:pBdr>
          <w:left w:val="single" w:sz="4" w:space="4" w:color="auto"/>
        </w:pBdr>
        <w:autoSpaceDE w:val="0"/>
        <w:autoSpaceDN w:val="0"/>
        <w:adjustRightInd w:val="0"/>
        <w:rPr>
          <w:rFonts w:cs="Arial"/>
          <w:b/>
          <w:sz w:val="16"/>
          <w:szCs w:val="16"/>
        </w:rPr>
      </w:pPr>
    </w:p>
    <w:p w:rsidR="004A66D8" w:rsidRPr="00512403" w:rsidP="000C531B" w14:paraId="36B0BB91" w14:textId="423F1D4D">
      <w:pPr>
        <w:pBdr>
          <w:left w:val="single" w:sz="4" w:space="4" w:color="auto"/>
        </w:pBdr>
        <w:autoSpaceDE w:val="0"/>
        <w:autoSpaceDN w:val="0"/>
        <w:adjustRightInd w:val="0"/>
        <w:rPr>
          <w:rFonts w:cs="Arial"/>
          <w:b/>
          <w:bCs/>
          <w:sz w:val="16"/>
          <w:szCs w:val="16"/>
        </w:rPr>
      </w:pPr>
      <w:r w:rsidRPr="00512403">
        <w:rPr>
          <w:rFonts w:cs="Arial"/>
          <w:b/>
          <w:bCs/>
          <w:sz w:val="16"/>
          <w:szCs w:val="16"/>
        </w:rPr>
        <w:t>En particular, se deben incluir los siguientes l</w:t>
      </w:r>
      <w:r w:rsidRPr="00512403" w:rsidR="00682C00">
        <w:rPr>
          <w:rFonts w:cs="Arial"/>
          <w:b/>
          <w:bCs/>
          <w:sz w:val="16"/>
          <w:szCs w:val="16"/>
        </w:rPr>
        <w:t>í</w:t>
      </w:r>
      <w:r w:rsidRPr="00512403">
        <w:rPr>
          <w:rFonts w:cs="Arial"/>
          <w:b/>
          <w:bCs/>
          <w:sz w:val="16"/>
          <w:szCs w:val="16"/>
        </w:rPr>
        <w:t>mites:</w:t>
      </w:r>
    </w:p>
    <w:p w:rsidR="000C531B" w:rsidRPr="00512403" w:rsidP="000C531B" w14:paraId="2FDCB098" w14:textId="77777777">
      <w:pPr>
        <w:autoSpaceDE w:val="0"/>
        <w:autoSpaceDN w:val="0"/>
        <w:adjustRightInd w:val="0"/>
        <w:rPr>
          <w:rFonts w:cs="Arial"/>
          <w:sz w:val="14"/>
          <w:szCs w:val="16"/>
        </w:rPr>
      </w:pPr>
    </w:p>
    <w:p w:rsidR="0034056F" w:rsidRPr="00512403" w:rsidP="00846F12" w14:paraId="185328AC" w14:textId="6F4ED2F8">
      <w:pPr>
        <w:pBdr>
          <w:left w:val="single" w:sz="4" w:space="4" w:color="auto"/>
        </w:pBdr>
        <w:autoSpaceDE w:val="0"/>
        <w:autoSpaceDN w:val="0"/>
        <w:adjustRightInd w:val="0"/>
        <w:rPr>
          <w:rFonts w:cs="Arial"/>
          <w:b/>
          <w:bCs/>
          <w:sz w:val="16"/>
          <w:szCs w:val="16"/>
        </w:rPr>
      </w:pPr>
      <w:r w:rsidRPr="000F4C38">
        <w:rPr>
          <w:rFonts w:cs="Arial"/>
          <w:b/>
          <w:bCs/>
          <w:sz w:val="16"/>
          <w:szCs w:val="16"/>
        </w:rPr>
        <w:t xml:space="preserve">2.1.1.10.1. </w:t>
      </w:r>
      <w:r w:rsidRPr="00512403" w:rsidR="00D86A06">
        <w:rPr>
          <w:rFonts w:cs="Arial"/>
          <w:b/>
          <w:bCs/>
          <w:sz w:val="16"/>
          <w:szCs w:val="16"/>
        </w:rPr>
        <w:t>Límites</w:t>
      </w:r>
      <w:r w:rsidRPr="00512403" w:rsidR="0044024D">
        <w:rPr>
          <w:rFonts w:cs="Arial"/>
          <w:b/>
          <w:bCs/>
          <w:sz w:val="16"/>
          <w:szCs w:val="16"/>
        </w:rPr>
        <w:t xml:space="preserve"> para </w:t>
      </w:r>
      <w:r w:rsidRPr="00512403" w:rsidR="00F34BB7">
        <w:rPr>
          <w:rFonts w:cs="Arial"/>
          <w:b/>
          <w:bCs/>
          <w:sz w:val="16"/>
          <w:szCs w:val="16"/>
        </w:rPr>
        <w:t xml:space="preserve">el valor que arroje </w:t>
      </w:r>
      <w:r w:rsidRPr="00512403" w:rsidR="0044024D">
        <w:rPr>
          <w:rFonts w:cs="Arial"/>
          <w:b/>
          <w:bCs/>
          <w:sz w:val="16"/>
          <w:szCs w:val="16"/>
        </w:rPr>
        <w:t xml:space="preserve">la </w:t>
      </w:r>
      <w:r w:rsidRPr="00512403" w:rsidR="00F34BB7">
        <w:rPr>
          <w:rFonts w:cs="Arial"/>
          <w:b/>
          <w:bCs/>
          <w:sz w:val="16"/>
          <w:szCs w:val="16"/>
        </w:rPr>
        <w:t xml:space="preserve">suma en la </w:t>
      </w:r>
      <w:r w:rsidRPr="00512403" w:rsidR="0044024D">
        <w:rPr>
          <w:rFonts w:cs="Arial"/>
          <w:b/>
          <w:bCs/>
          <w:sz w:val="16"/>
          <w:szCs w:val="16"/>
        </w:rPr>
        <w:t xml:space="preserve">inversión directa </w:t>
      </w:r>
      <w:r w:rsidRPr="00512403" w:rsidR="001E05CD">
        <w:rPr>
          <w:rFonts w:cs="Arial"/>
          <w:b/>
          <w:bCs/>
          <w:sz w:val="16"/>
          <w:szCs w:val="16"/>
        </w:rPr>
        <w:t>de</w:t>
      </w:r>
      <w:r w:rsidRPr="00512403" w:rsidR="0044024D">
        <w:rPr>
          <w:rFonts w:cs="Arial"/>
          <w:b/>
          <w:bCs/>
          <w:sz w:val="16"/>
          <w:szCs w:val="16"/>
        </w:rPr>
        <w:t xml:space="preserve"> los instrumentos descritos en los subnumerales 1.10, 1.11, 2.7, 2.8, 2.9 y 2.10 del artículo 2.6.12.1.2</w:t>
      </w:r>
      <w:r w:rsidRPr="000F4C38" w:rsidR="000F365A">
        <w:rPr>
          <w:rFonts w:cs="Arial"/>
          <w:b/>
          <w:bCs/>
          <w:sz w:val="16"/>
          <w:szCs w:val="16"/>
        </w:rPr>
        <w:t xml:space="preserve"> </w:t>
      </w:r>
      <w:r w:rsidRPr="00512403" w:rsidR="0044024D">
        <w:rPr>
          <w:rFonts w:cs="Arial"/>
          <w:b/>
          <w:bCs/>
          <w:sz w:val="16"/>
          <w:szCs w:val="16"/>
        </w:rPr>
        <w:t>del Decreto 2555 de 2010</w:t>
      </w:r>
      <w:r w:rsidRPr="00512403" w:rsidR="008B3569">
        <w:rPr>
          <w:rFonts w:cs="Arial"/>
          <w:b/>
          <w:bCs/>
          <w:sz w:val="16"/>
          <w:szCs w:val="16"/>
        </w:rPr>
        <w:t>,</w:t>
      </w:r>
      <w:r w:rsidRPr="00512403" w:rsidR="00007201">
        <w:rPr>
          <w:rFonts w:cs="Arial"/>
          <w:b/>
          <w:bCs/>
          <w:sz w:val="16"/>
          <w:szCs w:val="16"/>
        </w:rPr>
        <w:t xml:space="preserve"> considerados como activos alternativos</w:t>
      </w:r>
      <w:r w:rsidRPr="00512403">
        <w:rPr>
          <w:rFonts w:cs="Arial"/>
          <w:b/>
          <w:bCs/>
          <w:sz w:val="16"/>
          <w:szCs w:val="16"/>
        </w:rPr>
        <w:t>.</w:t>
      </w:r>
    </w:p>
    <w:p w:rsidR="000C531B" w:rsidRPr="00512403" w:rsidP="00846F12" w14:paraId="2FDCB099" w14:textId="54C3B5CE">
      <w:pPr>
        <w:pBdr>
          <w:left w:val="single" w:sz="4" w:space="4" w:color="auto"/>
        </w:pBdr>
        <w:autoSpaceDE w:val="0"/>
        <w:autoSpaceDN w:val="0"/>
        <w:adjustRightInd w:val="0"/>
        <w:rPr>
          <w:rFonts w:cs="Arial"/>
          <w:b/>
          <w:bCs/>
          <w:sz w:val="16"/>
          <w:szCs w:val="16"/>
        </w:rPr>
      </w:pPr>
      <w:r w:rsidRPr="00512403">
        <w:rPr>
          <w:rFonts w:cs="Arial"/>
          <w:b/>
          <w:bCs/>
          <w:sz w:val="16"/>
          <w:szCs w:val="16"/>
        </w:rPr>
        <w:t xml:space="preserve">2.1.1.10.2. </w:t>
      </w:r>
      <w:r w:rsidRPr="00512403" w:rsidR="0034056F">
        <w:rPr>
          <w:rFonts w:cs="Arial"/>
          <w:b/>
          <w:bCs/>
          <w:sz w:val="16"/>
          <w:szCs w:val="16"/>
        </w:rPr>
        <w:t>L</w:t>
      </w:r>
      <w:r w:rsidRPr="00512403" w:rsidR="007D75FD">
        <w:rPr>
          <w:rFonts w:cs="Arial"/>
          <w:b/>
          <w:bCs/>
          <w:sz w:val="16"/>
          <w:szCs w:val="16"/>
        </w:rPr>
        <w:t>ímites</w:t>
      </w:r>
      <w:r w:rsidRPr="00512403" w:rsidR="00237889">
        <w:rPr>
          <w:rFonts w:cs="Arial"/>
          <w:b/>
          <w:bCs/>
          <w:sz w:val="16"/>
          <w:szCs w:val="16"/>
        </w:rPr>
        <w:t xml:space="preserve"> </w:t>
      </w:r>
      <w:r w:rsidRPr="00512403" w:rsidR="008B3569">
        <w:rPr>
          <w:rFonts w:cs="Arial"/>
          <w:b/>
          <w:bCs/>
          <w:sz w:val="16"/>
          <w:szCs w:val="16"/>
        </w:rPr>
        <w:t>en los distintos tipos de activos alternativos que se señalan en los numerales 1.10, 1.11, 2.7, 2.8, 2.9 y 2.10 del artículo 2.6.12.1.2</w:t>
      </w:r>
      <w:r w:rsidRPr="000F4C38" w:rsidR="008B3569">
        <w:rPr>
          <w:rFonts w:cs="Arial"/>
          <w:b/>
          <w:bCs/>
          <w:sz w:val="16"/>
          <w:szCs w:val="16"/>
        </w:rPr>
        <w:t xml:space="preserve"> </w:t>
      </w:r>
      <w:r w:rsidRPr="00512403" w:rsidR="008B3569">
        <w:rPr>
          <w:rFonts w:cs="Arial"/>
          <w:b/>
          <w:bCs/>
          <w:sz w:val="16"/>
          <w:szCs w:val="16"/>
        </w:rPr>
        <w:t>del Decreto 2555 de 2010.</w:t>
      </w:r>
    </w:p>
    <w:p w:rsidR="008C5505" w:rsidRPr="00512403" w:rsidP="00846F12" w14:paraId="28EB7C3E" w14:textId="3FD52BCD">
      <w:pPr>
        <w:pBdr>
          <w:left w:val="single" w:sz="4" w:space="4" w:color="auto"/>
        </w:pBdr>
        <w:autoSpaceDE w:val="0"/>
        <w:autoSpaceDN w:val="0"/>
        <w:adjustRightInd w:val="0"/>
        <w:rPr>
          <w:rFonts w:cs="Arial"/>
          <w:b/>
          <w:bCs/>
          <w:sz w:val="16"/>
          <w:szCs w:val="16"/>
        </w:rPr>
      </w:pPr>
      <w:r w:rsidRPr="00512403">
        <w:rPr>
          <w:rFonts w:cs="Arial"/>
          <w:b/>
          <w:bCs/>
          <w:sz w:val="16"/>
          <w:szCs w:val="16"/>
        </w:rPr>
        <w:t>2.1.1.10.3.</w:t>
      </w:r>
      <w:r w:rsidRPr="00512403" w:rsidR="00F76596">
        <w:rPr>
          <w:rFonts w:cs="Arial"/>
          <w:b/>
          <w:bCs/>
          <w:sz w:val="16"/>
          <w:szCs w:val="16"/>
        </w:rPr>
        <w:t xml:space="preserve"> Límites individuales para cada uno de los distintos tipos de fondos de capital privado que se mencionan en el numeral 1.10 del artículo 2.6.12.1.2 del Decreto 2555 de 2010.</w:t>
      </w:r>
    </w:p>
    <w:p w:rsidR="002C4FEB" w:rsidRPr="00512403" w:rsidP="00846F12" w14:paraId="1694D14B" w14:textId="3E54FB2A">
      <w:pPr>
        <w:pBdr>
          <w:left w:val="single" w:sz="4" w:space="4" w:color="auto"/>
        </w:pBdr>
        <w:autoSpaceDE w:val="0"/>
        <w:autoSpaceDN w:val="0"/>
        <w:adjustRightInd w:val="0"/>
        <w:rPr>
          <w:rFonts w:cs="Arial"/>
          <w:b/>
          <w:bCs/>
          <w:sz w:val="16"/>
          <w:szCs w:val="16"/>
        </w:rPr>
      </w:pPr>
      <w:r w:rsidRPr="000F4C38">
        <w:rPr>
          <w:rFonts w:cs="Arial"/>
          <w:b/>
          <w:bCs/>
          <w:sz w:val="16"/>
          <w:szCs w:val="16"/>
        </w:rPr>
        <w:t>2.1.1.10.</w:t>
      </w:r>
      <w:r w:rsidRPr="00512403" w:rsidR="008C5505">
        <w:rPr>
          <w:rFonts w:cs="Arial"/>
          <w:b/>
          <w:bCs/>
          <w:sz w:val="16"/>
          <w:szCs w:val="16"/>
        </w:rPr>
        <w:t>4</w:t>
      </w:r>
      <w:r w:rsidRPr="000F4C38">
        <w:rPr>
          <w:rFonts w:cs="Arial"/>
          <w:b/>
          <w:bCs/>
          <w:sz w:val="16"/>
          <w:szCs w:val="16"/>
        </w:rPr>
        <w:t xml:space="preserve">. Límites </w:t>
      </w:r>
      <w:r w:rsidRPr="00512403">
        <w:rPr>
          <w:rFonts w:cs="Arial"/>
          <w:b/>
          <w:bCs/>
          <w:sz w:val="16"/>
          <w:szCs w:val="16"/>
        </w:rPr>
        <w:t>máximos de inversión por emisión</w:t>
      </w:r>
      <w:r w:rsidRPr="00512403" w:rsidR="00833EB6">
        <w:rPr>
          <w:rFonts w:cs="Arial"/>
          <w:b/>
          <w:bCs/>
          <w:sz w:val="16"/>
          <w:szCs w:val="16"/>
        </w:rPr>
        <w:t xml:space="preserve">, </w:t>
      </w:r>
      <w:r w:rsidRPr="00512403" w:rsidR="00A56AA6">
        <w:rPr>
          <w:rFonts w:cs="Arial"/>
          <w:b/>
          <w:bCs/>
          <w:sz w:val="16"/>
          <w:szCs w:val="16"/>
        </w:rPr>
        <w:t>participación</w:t>
      </w:r>
      <w:r w:rsidRPr="00512403" w:rsidR="00C95F4B">
        <w:rPr>
          <w:rFonts w:cs="Arial"/>
          <w:b/>
          <w:bCs/>
          <w:sz w:val="16"/>
          <w:szCs w:val="16"/>
        </w:rPr>
        <w:t xml:space="preserve"> en </w:t>
      </w:r>
      <w:r w:rsidRPr="00512403" w:rsidR="00A56AA6">
        <w:rPr>
          <w:rFonts w:cs="Arial"/>
          <w:b/>
          <w:bCs/>
          <w:sz w:val="16"/>
          <w:szCs w:val="16"/>
        </w:rPr>
        <w:t>vehículos de inversión colectiva</w:t>
      </w:r>
      <w:r w:rsidRPr="00512403" w:rsidR="00CA7CE9">
        <w:rPr>
          <w:rFonts w:cs="Arial"/>
          <w:b/>
          <w:bCs/>
          <w:sz w:val="16"/>
          <w:szCs w:val="16"/>
        </w:rPr>
        <w:t xml:space="preserve"> cerrados</w:t>
      </w:r>
      <w:r w:rsidRPr="00512403" w:rsidR="000D15E4">
        <w:rPr>
          <w:rFonts w:cs="Arial"/>
          <w:b/>
          <w:bCs/>
          <w:sz w:val="16"/>
          <w:szCs w:val="16"/>
        </w:rPr>
        <w:t xml:space="preserve"> y fondos de capital privado</w:t>
      </w:r>
      <w:r w:rsidRPr="00512403" w:rsidR="00833EB6">
        <w:rPr>
          <w:rFonts w:cs="Arial"/>
          <w:b/>
          <w:bCs/>
          <w:sz w:val="16"/>
          <w:szCs w:val="16"/>
        </w:rPr>
        <w:t>, aplicables a la suma de los recursos de todos los tipos de fondos de pensiones obligatorias administrados</w:t>
      </w:r>
      <w:r w:rsidR="00F03B79">
        <w:rPr>
          <w:rFonts w:cs="Arial"/>
          <w:b/>
          <w:bCs/>
          <w:sz w:val="16"/>
          <w:szCs w:val="16"/>
        </w:rPr>
        <w:t>,</w:t>
      </w:r>
      <w:r w:rsidRPr="00512403" w:rsidR="00833EB6">
        <w:rPr>
          <w:rFonts w:cs="Arial"/>
          <w:b/>
          <w:bCs/>
          <w:sz w:val="16"/>
          <w:szCs w:val="16"/>
        </w:rPr>
        <w:t xml:space="preserve"> o a la suma de los portafolios de corto y largo plazo del fondo de cesantía.</w:t>
      </w:r>
    </w:p>
    <w:p w:rsidR="00833EB6" w:rsidRPr="00512403" w:rsidP="00833EB6" w14:paraId="6DCA34F1" w14:textId="1474F376">
      <w:pPr>
        <w:pBdr>
          <w:left w:val="single" w:sz="4" w:space="4" w:color="auto"/>
        </w:pBdr>
        <w:autoSpaceDE w:val="0"/>
        <w:autoSpaceDN w:val="0"/>
        <w:adjustRightInd w:val="0"/>
        <w:rPr>
          <w:rFonts w:cs="Arial"/>
          <w:b/>
          <w:bCs/>
          <w:sz w:val="16"/>
          <w:szCs w:val="16"/>
        </w:rPr>
      </w:pPr>
      <w:r w:rsidRPr="000F4C38">
        <w:rPr>
          <w:rFonts w:cs="Arial"/>
          <w:b/>
          <w:bCs/>
          <w:sz w:val="16"/>
          <w:szCs w:val="16"/>
        </w:rPr>
        <w:t>2.1.1.10.</w:t>
      </w:r>
      <w:r w:rsidRPr="00512403" w:rsidR="00BA004F">
        <w:rPr>
          <w:rFonts w:cs="Arial"/>
          <w:b/>
          <w:bCs/>
          <w:sz w:val="16"/>
          <w:szCs w:val="16"/>
        </w:rPr>
        <w:t>5</w:t>
      </w:r>
      <w:r w:rsidRPr="000F4C38">
        <w:rPr>
          <w:rFonts w:cs="Arial"/>
          <w:b/>
          <w:bCs/>
          <w:sz w:val="16"/>
          <w:szCs w:val="16"/>
        </w:rPr>
        <w:t xml:space="preserve">. Límites </w:t>
      </w:r>
      <w:r w:rsidRPr="00512403" w:rsidR="00076D20">
        <w:rPr>
          <w:rFonts w:cs="Arial"/>
          <w:b/>
          <w:bCs/>
          <w:sz w:val="16"/>
          <w:szCs w:val="16"/>
        </w:rPr>
        <w:t>de inversión</w:t>
      </w:r>
      <w:r w:rsidRPr="000F4C38" w:rsidR="00076D20">
        <w:rPr>
          <w:rFonts w:cs="Arial"/>
          <w:b/>
          <w:bCs/>
          <w:sz w:val="16"/>
          <w:szCs w:val="16"/>
        </w:rPr>
        <w:t xml:space="preserve"> </w:t>
      </w:r>
      <w:r w:rsidRPr="00512403" w:rsidR="00076D20">
        <w:rPr>
          <w:rFonts w:cs="Arial"/>
          <w:b/>
          <w:bCs/>
          <w:sz w:val="16"/>
          <w:szCs w:val="16"/>
        </w:rPr>
        <w:t xml:space="preserve">en BOCEAS </w:t>
      </w:r>
      <w:r w:rsidRPr="00512403" w:rsidR="007E2228">
        <w:rPr>
          <w:rFonts w:cs="Arial"/>
          <w:b/>
          <w:bCs/>
          <w:sz w:val="16"/>
          <w:szCs w:val="16"/>
        </w:rPr>
        <w:t>en circulación de una sociedad</w:t>
      </w:r>
      <w:r w:rsidRPr="00512403">
        <w:rPr>
          <w:rFonts w:cs="Arial"/>
          <w:b/>
          <w:bCs/>
          <w:sz w:val="16"/>
          <w:szCs w:val="16"/>
        </w:rPr>
        <w:t>, aplicables a la suma de los recursos de todos los tipos de fondos de pensiones obligatorias administrados</w:t>
      </w:r>
      <w:r w:rsidR="0057614D">
        <w:rPr>
          <w:rFonts w:cs="Arial"/>
          <w:b/>
          <w:bCs/>
          <w:sz w:val="16"/>
          <w:szCs w:val="16"/>
        </w:rPr>
        <w:t>,</w:t>
      </w:r>
      <w:r w:rsidRPr="00512403">
        <w:rPr>
          <w:rFonts w:cs="Arial"/>
          <w:b/>
          <w:bCs/>
          <w:sz w:val="16"/>
          <w:szCs w:val="16"/>
        </w:rPr>
        <w:t xml:space="preserve"> o a la suma de los portafolios de corto y largo plazo del fondo de cesantía.</w:t>
      </w:r>
    </w:p>
    <w:p w:rsidR="0059227A" w:rsidRPr="00512403" w:rsidP="000F4C38" w14:paraId="75729F01" w14:textId="25EFCFC2">
      <w:pPr>
        <w:pBdr>
          <w:left w:val="single" w:sz="4" w:space="4" w:color="auto"/>
        </w:pBdr>
        <w:autoSpaceDE w:val="0"/>
        <w:autoSpaceDN w:val="0"/>
        <w:adjustRightInd w:val="0"/>
        <w:rPr>
          <w:rFonts w:cs="Arial"/>
          <w:sz w:val="16"/>
          <w:szCs w:val="16"/>
        </w:rPr>
      </w:pPr>
      <w:r w:rsidRPr="00512403">
        <w:rPr>
          <w:rFonts w:cs="Arial"/>
          <w:b/>
          <w:bCs/>
          <w:sz w:val="16"/>
          <w:szCs w:val="16"/>
        </w:rPr>
        <w:t xml:space="preserve"> </w:t>
      </w:r>
    </w:p>
    <w:p w:rsidR="000C531B" w:rsidRPr="00512403" w:rsidP="000C531B" w14:paraId="2FDCB0A2" w14:textId="693A1CE0">
      <w:pPr>
        <w:autoSpaceDE w:val="0"/>
        <w:autoSpaceDN w:val="0"/>
        <w:adjustRightInd w:val="0"/>
        <w:rPr>
          <w:rFonts w:cs="Arial"/>
          <w:sz w:val="16"/>
          <w:szCs w:val="16"/>
        </w:rPr>
      </w:pPr>
      <w:r w:rsidRPr="00512403">
        <w:rPr>
          <w:rFonts w:cs="Arial"/>
          <w:sz w:val="16"/>
          <w:szCs w:val="16"/>
        </w:rPr>
        <w:t xml:space="preserve">2.1.1.11. Políticas en la administración o gestión de riesgos: </w:t>
      </w:r>
    </w:p>
    <w:p w:rsidR="000C531B" w:rsidRPr="00512403" w:rsidP="000C531B" w14:paraId="2FDCB0A3" w14:textId="77777777">
      <w:pPr>
        <w:tabs>
          <w:tab w:val="num" w:pos="720"/>
        </w:tabs>
        <w:autoSpaceDE w:val="0"/>
        <w:autoSpaceDN w:val="0"/>
        <w:adjustRightInd w:val="0"/>
        <w:ind w:left="720" w:hanging="720"/>
        <w:rPr>
          <w:rFonts w:cs="Arial"/>
          <w:sz w:val="14"/>
          <w:szCs w:val="16"/>
        </w:rPr>
      </w:pPr>
    </w:p>
    <w:p w:rsidR="002C277B" w:rsidRPr="00512403" w:rsidP="002C277B" w14:paraId="0420FB16" w14:textId="6AC16DE6">
      <w:pPr>
        <w:pStyle w:val="ListParagraph1"/>
        <w:pBdr>
          <w:left w:val="single" w:sz="4" w:space="4" w:color="auto"/>
        </w:pBdr>
        <w:ind w:left="0"/>
        <w:rPr>
          <w:bCs/>
          <w:sz w:val="16"/>
          <w:szCs w:val="16"/>
        </w:rPr>
      </w:pPr>
      <w:r w:rsidRPr="008C0890">
        <w:rPr>
          <w:b w:val="0"/>
          <w:bCs/>
          <w:sz w:val="16"/>
          <w:szCs w:val="16"/>
        </w:rPr>
        <w:t>2.1.1.11.1.</w:t>
      </w:r>
      <w:r w:rsidRPr="00512403">
        <w:rPr>
          <w:sz w:val="16"/>
          <w:szCs w:val="16"/>
        </w:rPr>
        <w:t xml:space="preserve"> </w:t>
      </w:r>
      <w:r w:rsidRPr="00512403">
        <w:rPr>
          <w:b w:val="0"/>
          <w:bCs/>
          <w:sz w:val="16"/>
          <w:szCs w:val="16"/>
        </w:rPr>
        <w:t>Descripción general de los riesgos a los cuales se encuentran expuestos los diferentes tipos de fondos de pensiones obligatorias y los portafolios del fondo de cesantía, de acuerdo con las características de cada uno de ellos.</w:t>
      </w:r>
      <w:r w:rsidRPr="00512403" w:rsidR="00F56079">
        <w:rPr>
          <w:b w:val="0"/>
          <w:bCs/>
          <w:sz w:val="16"/>
          <w:szCs w:val="16"/>
        </w:rPr>
        <w:t xml:space="preserve"> </w:t>
      </w:r>
      <w:r w:rsidRPr="00512403" w:rsidR="00913129">
        <w:rPr>
          <w:sz w:val="16"/>
          <w:szCs w:val="16"/>
        </w:rPr>
        <w:t>Esta descripción debe</w:t>
      </w:r>
      <w:r w:rsidRPr="00512403">
        <w:rPr>
          <w:sz w:val="16"/>
          <w:szCs w:val="16"/>
        </w:rPr>
        <w:t xml:space="preserve"> incorporar como mínimo los riesgos de liquidez, mercado, crédito, ASG y climático</w:t>
      </w:r>
      <w:r w:rsidRPr="00512403" w:rsidR="00AA69F3">
        <w:rPr>
          <w:sz w:val="16"/>
          <w:szCs w:val="16"/>
        </w:rPr>
        <w:t>s</w:t>
      </w:r>
      <w:r w:rsidRPr="00512403">
        <w:rPr>
          <w:sz w:val="16"/>
          <w:szCs w:val="16"/>
        </w:rPr>
        <w:t>.</w:t>
      </w:r>
    </w:p>
    <w:p w:rsidR="000C531B" w:rsidRPr="00512403" w:rsidP="000F4C38" w14:paraId="2FDCB0A4" w14:textId="500A4162">
      <w:pPr>
        <w:pBdr>
          <w:left w:val="single" w:sz="4" w:space="4" w:color="auto"/>
        </w:pBdr>
        <w:autoSpaceDE w:val="0"/>
        <w:autoSpaceDN w:val="0"/>
        <w:adjustRightInd w:val="0"/>
        <w:rPr>
          <w:rFonts w:cs="Arial"/>
          <w:sz w:val="16"/>
          <w:szCs w:val="16"/>
          <w:lang w:val="es-ES"/>
        </w:rPr>
      </w:pPr>
    </w:p>
    <w:p w:rsidR="00D11ADC" w:rsidRPr="000F4C38" w:rsidP="000F4C38" w14:paraId="347B3D1B" w14:textId="02D8E429">
      <w:pPr>
        <w:pBdr>
          <w:left w:val="single" w:sz="4" w:space="4" w:color="auto"/>
        </w:pBdr>
        <w:autoSpaceDE w:val="0"/>
        <w:autoSpaceDN w:val="0"/>
        <w:adjustRightInd w:val="0"/>
        <w:rPr>
          <w:rFonts w:cs="Arial"/>
          <w:b/>
          <w:bCs/>
          <w:sz w:val="16"/>
          <w:szCs w:val="16"/>
          <w:lang w:val="es-ES"/>
        </w:rPr>
      </w:pPr>
      <w:r w:rsidRPr="000F4C38">
        <w:rPr>
          <w:rFonts w:cs="Arial"/>
          <w:b/>
          <w:bCs/>
          <w:sz w:val="16"/>
          <w:szCs w:val="16"/>
        </w:rPr>
        <w:t>También</w:t>
      </w:r>
      <w:r w:rsidRPr="000F4C38" w:rsidR="00AA69F3">
        <w:rPr>
          <w:rFonts w:cs="Arial"/>
          <w:b/>
          <w:bCs/>
          <w:sz w:val="16"/>
          <w:szCs w:val="16"/>
        </w:rPr>
        <w:t xml:space="preserve"> </w:t>
      </w:r>
      <w:r w:rsidRPr="00512403" w:rsidR="00EC5E3B">
        <w:rPr>
          <w:rFonts w:cs="Arial"/>
          <w:b/>
          <w:bCs/>
          <w:sz w:val="16"/>
          <w:szCs w:val="16"/>
        </w:rPr>
        <w:t>debe relacionarse c</w:t>
      </w:r>
      <w:r w:rsidR="007F4FF3">
        <w:rPr>
          <w:rFonts w:cs="Arial"/>
          <w:b/>
          <w:bCs/>
          <w:sz w:val="16"/>
          <w:szCs w:val="16"/>
        </w:rPr>
        <w:t>o</w:t>
      </w:r>
      <w:r w:rsidRPr="00512403" w:rsidR="00EC5E3B">
        <w:rPr>
          <w:rFonts w:cs="Arial"/>
          <w:b/>
          <w:bCs/>
          <w:sz w:val="16"/>
          <w:szCs w:val="16"/>
        </w:rPr>
        <w:t>mo la integración de</w:t>
      </w:r>
      <w:r w:rsidRPr="000F4C38" w:rsidR="0029376D">
        <w:rPr>
          <w:rFonts w:cs="Arial"/>
          <w:b/>
          <w:bCs/>
          <w:sz w:val="16"/>
          <w:szCs w:val="16"/>
        </w:rPr>
        <w:t xml:space="preserve"> factores de riesgo</w:t>
      </w:r>
      <w:r w:rsidRPr="00512403" w:rsidR="00EC5E3B">
        <w:rPr>
          <w:rFonts w:cs="Arial"/>
          <w:b/>
          <w:bCs/>
          <w:sz w:val="16"/>
          <w:szCs w:val="16"/>
        </w:rPr>
        <w:t xml:space="preserve"> ASG y climáticos, responde a los objetivos de cada uno de los tipos de fondos de pensiones y de los portafolios del fondo de cesantías. En caso de no incluir dicha integración, la política deberá establecer explícitamente las razones por las cuales la AFPC no incluye e</w:t>
      </w:r>
      <w:r w:rsidRPr="00512403" w:rsidR="242A43C3">
        <w:rPr>
          <w:rFonts w:cs="Arial"/>
          <w:b/>
          <w:bCs/>
          <w:sz w:val="16"/>
          <w:szCs w:val="16"/>
        </w:rPr>
        <w:t>l</w:t>
      </w:r>
      <w:r w:rsidRPr="00512403" w:rsidR="00EC5E3B">
        <w:rPr>
          <w:rFonts w:cs="Arial"/>
          <w:b/>
          <w:bCs/>
          <w:sz w:val="16"/>
          <w:szCs w:val="16"/>
        </w:rPr>
        <w:t xml:space="preserve"> análisis de dichos riesgos.</w:t>
      </w:r>
      <w:r w:rsidRPr="000F4C38" w:rsidR="001461AE">
        <w:rPr>
          <w:rFonts w:cs="Arial"/>
          <w:b/>
          <w:bCs/>
          <w:sz w:val="16"/>
          <w:szCs w:val="16"/>
        </w:rPr>
        <w:t xml:space="preserve"> </w:t>
      </w:r>
    </w:p>
    <w:p w:rsidR="000C531B" w:rsidRPr="00512403" w:rsidP="000C531B" w14:paraId="2FDCB0A5" w14:textId="77777777">
      <w:pPr>
        <w:autoSpaceDE w:val="0"/>
        <w:autoSpaceDN w:val="0"/>
        <w:adjustRightInd w:val="0"/>
        <w:rPr>
          <w:rFonts w:cs="Arial"/>
          <w:sz w:val="14"/>
          <w:szCs w:val="16"/>
        </w:rPr>
      </w:pPr>
    </w:p>
    <w:p w:rsidR="000C531B" w:rsidRPr="00512403" w:rsidP="000C531B" w14:paraId="2FDCB0A6" w14:textId="4C671E92">
      <w:pPr>
        <w:autoSpaceDE w:val="0"/>
        <w:autoSpaceDN w:val="0"/>
        <w:adjustRightInd w:val="0"/>
        <w:rPr>
          <w:rFonts w:cs="Arial"/>
          <w:sz w:val="16"/>
          <w:szCs w:val="16"/>
        </w:rPr>
      </w:pPr>
      <w:r w:rsidRPr="00512403">
        <w:rPr>
          <w:rFonts w:cs="Arial"/>
          <w:sz w:val="16"/>
          <w:szCs w:val="16"/>
        </w:rPr>
        <w:t>2.1.1.11.2. Mecanismos de identificación, medición, control y monitoreo de cada uno de los riesgos</w:t>
      </w:r>
      <w:r w:rsidRPr="00512403" w:rsidR="0080260F">
        <w:rPr>
          <w:rFonts w:cs="Arial"/>
          <w:sz w:val="16"/>
          <w:szCs w:val="16"/>
        </w:rPr>
        <w:t xml:space="preserve"> descritos a</w:t>
      </w:r>
      <w:r w:rsidRPr="00512403">
        <w:rPr>
          <w:rFonts w:cs="Arial"/>
          <w:sz w:val="16"/>
          <w:szCs w:val="16"/>
        </w:rPr>
        <w:t xml:space="preserve"> los que se encuentran expuestos los tipos de fondos de pensiones obligatorias y los portafolios del fondo de cesantía, en donde se indique por lo menos:</w:t>
      </w:r>
    </w:p>
    <w:p w:rsidR="000C531B" w:rsidRPr="00512403" w:rsidP="000C531B" w14:paraId="2FDCB0A7" w14:textId="77777777">
      <w:pPr>
        <w:tabs>
          <w:tab w:val="num" w:pos="720"/>
        </w:tabs>
        <w:autoSpaceDE w:val="0"/>
        <w:autoSpaceDN w:val="0"/>
        <w:adjustRightInd w:val="0"/>
        <w:ind w:left="720" w:hanging="720"/>
        <w:rPr>
          <w:rFonts w:cs="Arial"/>
          <w:sz w:val="14"/>
          <w:szCs w:val="16"/>
        </w:rPr>
      </w:pPr>
    </w:p>
    <w:p w:rsidR="000C531B" w:rsidRPr="00512403" w:rsidP="000C531B" w14:paraId="2FDCB0A8" w14:textId="77777777">
      <w:pPr>
        <w:tabs>
          <w:tab w:val="num" w:pos="3600"/>
        </w:tabs>
        <w:autoSpaceDE w:val="0"/>
        <w:autoSpaceDN w:val="0"/>
        <w:adjustRightInd w:val="0"/>
        <w:rPr>
          <w:rFonts w:cs="Arial"/>
          <w:sz w:val="16"/>
          <w:szCs w:val="16"/>
        </w:rPr>
      </w:pPr>
      <w:r w:rsidRPr="00512403">
        <w:rPr>
          <w:rFonts w:cs="Arial"/>
          <w:sz w:val="16"/>
          <w:szCs w:val="16"/>
        </w:rPr>
        <w:t>2.1.1.11.2.1. Métodos de medición y control</w:t>
      </w:r>
    </w:p>
    <w:p w:rsidR="000C531B" w:rsidRPr="00512403" w:rsidP="000C531B" w14:paraId="2FDCB0A9" w14:textId="77777777">
      <w:pPr>
        <w:tabs>
          <w:tab w:val="num" w:pos="3600"/>
        </w:tabs>
        <w:autoSpaceDE w:val="0"/>
        <w:autoSpaceDN w:val="0"/>
        <w:adjustRightInd w:val="0"/>
        <w:rPr>
          <w:rFonts w:cs="Arial"/>
          <w:sz w:val="16"/>
          <w:szCs w:val="16"/>
        </w:rPr>
      </w:pPr>
      <w:r w:rsidRPr="00512403">
        <w:rPr>
          <w:rFonts w:cs="Arial"/>
          <w:sz w:val="16"/>
          <w:szCs w:val="16"/>
        </w:rPr>
        <w:t xml:space="preserve">2.1.1.11.2.2. Mecanismos de monitoreo </w:t>
      </w:r>
    </w:p>
    <w:p w:rsidR="000C531B" w:rsidRPr="00512403" w:rsidP="000C531B" w14:paraId="2FDCB0AA" w14:textId="77777777">
      <w:pPr>
        <w:tabs>
          <w:tab w:val="num" w:pos="3600"/>
        </w:tabs>
        <w:autoSpaceDE w:val="0"/>
        <w:autoSpaceDN w:val="0"/>
        <w:adjustRightInd w:val="0"/>
        <w:rPr>
          <w:rFonts w:cs="Arial"/>
          <w:sz w:val="16"/>
          <w:szCs w:val="16"/>
        </w:rPr>
      </w:pPr>
      <w:r w:rsidRPr="00512403">
        <w:rPr>
          <w:rFonts w:cs="Arial"/>
          <w:sz w:val="16"/>
          <w:szCs w:val="16"/>
        </w:rPr>
        <w:t>2.1.1.11.2.3. Periodicidad de control</w:t>
      </w:r>
    </w:p>
    <w:p w:rsidR="000C531B" w:rsidRPr="00512403" w:rsidP="000C531B" w14:paraId="2FDCB0AB" w14:textId="77777777">
      <w:pPr>
        <w:tabs>
          <w:tab w:val="num" w:pos="3600"/>
        </w:tabs>
        <w:autoSpaceDE w:val="0"/>
        <w:autoSpaceDN w:val="0"/>
        <w:adjustRightInd w:val="0"/>
        <w:rPr>
          <w:rFonts w:cs="Arial"/>
          <w:sz w:val="16"/>
          <w:szCs w:val="16"/>
        </w:rPr>
      </w:pPr>
      <w:r w:rsidRPr="00512403">
        <w:rPr>
          <w:rFonts w:cs="Arial"/>
          <w:sz w:val="16"/>
          <w:szCs w:val="16"/>
        </w:rPr>
        <w:t>2.1.1.11.2.4. Órganos receptores de los resultados de medición y control</w:t>
      </w:r>
    </w:p>
    <w:p w:rsidR="000C531B" w:rsidRPr="00512403" w:rsidP="001108B1" w14:paraId="2FDCB0AC" w14:textId="7068D2FB">
      <w:pPr>
        <w:tabs>
          <w:tab w:val="num" w:pos="3600"/>
        </w:tabs>
        <w:autoSpaceDE w:val="0"/>
        <w:autoSpaceDN w:val="0"/>
        <w:adjustRightInd w:val="0"/>
        <w:rPr>
          <w:rFonts w:cs="Arial"/>
          <w:sz w:val="16"/>
          <w:szCs w:val="16"/>
        </w:rPr>
      </w:pPr>
      <w:r w:rsidRPr="00512403">
        <w:rPr>
          <w:rFonts w:cs="Arial"/>
          <w:sz w:val="16"/>
          <w:szCs w:val="16"/>
        </w:rPr>
        <w:t xml:space="preserve">2.1.1.11.2.5. </w:t>
      </w:r>
      <w:r w:rsidRPr="00512403" w:rsidR="00A56AA6">
        <w:rPr>
          <w:rFonts w:cs="Arial"/>
          <w:bCs/>
          <w:sz w:val="16"/>
          <w:szCs w:val="16"/>
        </w:rPr>
        <w:t>Procedimientos por seguir</w:t>
      </w:r>
      <w:r w:rsidRPr="00512403">
        <w:rPr>
          <w:rFonts w:cs="Arial"/>
          <w:bCs/>
          <w:sz w:val="16"/>
          <w:szCs w:val="16"/>
        </w:rPr>
        <w:t xml:space="preserve"> en</w:t>
      </w:r>
      <w:r w:rsidRPr="00512403">
        <w:rPr>
          <w:rFonts w:cs="Arial"/>
          <w:sz w:val="16"/>
          <w:szCs w:val="16"/>
        </w:rPr>
        <w:t xml:space="preserve"> el evento en que se presente un exceso en la exposición a determinado riesgo</w:t>
      </w:r>
    </w:p>
    <w:p w:rsidR="001461AE" w:rsidRPr="00512403" w:rsidP="001108B1" w14:paraId="17354DF9" w14:textId="77777777">
      <w:pPr>
        <w:tabs>
          <w:tab w:val="num" w:pos="3600"/>
        </w:tabs>
        <w:autoSpaceDE w:val="0"/>
        <w:autoSpaceDN w:val="0"/>
        <w:adjustRightInd w:val="0"/>
        <w:rPr>
          <w:rFonts w:cs="Arial"/>
          <w:sz w:val="16"/>
          <w:szCs w:val="16"/>
        </w:rPr>
      </w:pPr>
    </w:p>
    <w:p w:rsidR="001461AE" w:rsidRPr="000F4C38" w:rsidP="000F4C38" w14:paraId="6EEA89B5" w14:textId="1E9FABCD">
      <w:pPr>
        <w:pBdr>
          <w:left w:val="single" w:sz="4" w:space="4" w:color="auto"/>
        </w:pBdr>
        <w:tabs>
          <w:tab w:val="num" w:pos="3600"/>
        </w:tabs>
        <w:autoSpaceDE w:val="0"/>
        <w:autoSpaceDN w:val="0"/>
        <w:adjustRightInd w:val="0"/>
        <w:rPr>
          <w:rFonts w:cs="Arial"/>
          <w:b/>
          <w:bCs/>
          <w:sz w:val="16"/>
          <w:szCs w:val="16"/>
        </w:rPr>
      </w:pPr>
      <w:r>
        <w:rPr>
          <w:rFonts w:cs="Arial"/>
          <w:b/>
          <w:bCs/>
          <w:sz w:val="16"/>
          <w:szCs w:val="16"/>
        </w:rPr>
        <w:t xml:space="preserve">Para </w:t>
      </w:r>
      <w:r w:rsidRPr="000F4C38" w:rsidR="001F1672">
        <w:rPr>
          <w:rFonts w:cs="Arial"/>
          <w:b/>
          <w:bCs/>
          <w:sz w:val="16"/>
          <w:szCs w:val="16"/>
        </w:rPr>
        <w:t xml:space="preserve">los riesgos ASG y climáticos, </w:t>
      </w:r>
      <w:r w:rsidRPr="000F4C38" w:rsidR="00C80BB3">
        <w:rPr>
          <w:rFonts w:cs="Arial"/>
          <w:b/>
          <w:bCs/>
          <w:sz w:val="16"/>
          <w:szCs w:val="16"/>
        </w:rPr>
        <w:t xml:space="preserve">la política </w:t>
      </w:r>
      <w:r w:rsidRPr="00512403" w:rsidR="007C1EEA">
        <w:rPr>
          <w:rFonts w:cs="Arial"/>
          <w:b/>
          <w:bCs/>
          <w:sz w:val="16"/>
          <w:szCs w:val="16"/>
        </w:rPr>
        <w:t xml:space="preserve">puede no </w:t>
      </w:r>
      <w:r w:rsidRPr="00512403" w:rsidR="003D1299">
        <w:rPr>
          <w:rFonts w:cs="Arial"/>
          <w:b/>
          <w:bCs/>
          <w:sz w:val="16"/>
          <w:szCs w:val="16"/>
        </w:rPr>
        <w:t xml:space="preserve">incluir en detalle </w:t>
      </w:r>
      <w:r w:rsidRPr="00512403" w:rsidR="007C1EEA">
        <w:rPr>
          <w:rFonts w:cs="Arial"/>
          <w:b/>
          <w:bCs/>
          <w:sz w:val="16"/>
          <w:szCs w:val="16"/>
        </w:rPr>
        <w:t>el contenido del presente numeral 2.1.1.11.2</w:t>
      </w:r>
      <w:r w:rsidRPr="00512403" w:rsidR="003D1299">
        <w:rPr>
          <w:rFonts w:cs="Arial"/>
          <w:b/>
          <w:bCs/>
          <w:sz w:val="16"/>
          <w:szCs w:val="16"/>
        </w:rPr>
        <w:t xml:space="preserve">. </w:t>
      </w:r>
      <w:r w:rsidRPr="000F4C38" w:rsidR="00C064ED">
        <w:rPr>
          <w:rFonts w:cs="Arial"/>
          <w:b/>
          <w:bCs/>
          <w:sz w:val="16"/>
          <w:szCs w:val="16"/>
        </w:rPr>
        <w:t>S</w:t>
      </w:r>
      <w:r w:rsidRPr="00512403" w:rsidR="003D1299">
        <w:rPr>
          <w:rFonts w:cs="Arial"/>
          <w:b/>
          <w:bCs/>
          <w:sz w:val="16"/>
          <w:szCs w:val="16"/>
        </w:rPr>
        <w:t xml:space="preserve">in embargo, </w:t>
      </w:r>
      <w:r w:rsidRPr="000F4C38" w:rsidR="00C80BB3">
        <w:rPr>
          <w:rFonts w:cs="Arial"/>
          <w:b/>
          <w:bCs/>
          <w:sz w:val="16"/>
          <w:szCs w:val="16"/>
        </w:rPr>
        <w:t xml:space="preserve">debe incluir </w:t>
      </w:r>
      <w:r w:rsidRPr="00512403" w:rsidR="006D4C95">
        <w:rPr>
          <w:rFonts w:cs="Arial"/>
          <w:b/>
          <w:bCs/>
          <w:sz w:val="16"/>
          <w:szCs w:val="16"/>
        </w:rPr>
        <w:t xml:space="preserve">los lineamientos generales </w:t>
      </w:r>
      <w:r w:rsidRPr="00512403" w:rsidR="00060D2B">
        <w:rPr>
          <w:rFonts w:cs="Arial"/>
          <w:b/>
          <w:bCs/>
          <w:sz w:val="16"/>
          <w:szCs w:val="16"/>
        </w:rPr>
        <w:t xml:space="preserve">que serán considerados para la integración de estos </w:t>
      </w:r>
      <w:r w:rsidRPr="00512403" w:rsidR="00327ACE">
        <w:rPr>
          <w:rFonts w:cs="Arial"/>
          <w:b/>
          <w:bCs/>
          <w:sz w:val="16"/>
          <w:szCs w:val="16"/>
        </w:rPr>
        <w:t xml:space="preserve">riesgos, así como </w:t>
      </w:r>
      <w:r w:rsidRPr="000F4C38" w:rsidR="00C80BB3">
        <w:rPr>
          <w:rFonts w:cs="Arial"/>
          <w:b/>
          <w:bCs/>
          <w:sz w:val="16"/>
          <w:szCs w:val="16"/>
        </w:rPr>
        <w:t>las etapas</w:t>
      </w:r>
      <w:r w:rsidRPr="000F4C38" w:rsidR="00B3689D">
        <w:rPr>
          <w:rFonts w:cs="Arial"/>
          <w:b/>
          <w:bCs/>
          <w:sz w:val="16"/>
          <w:szCs w:val="16"/>
        </w:rPr>
        <w:t xml:space="preserve">, responsables y </w:t>
      </w:r>
      <w:r w:rsidRPr="00512403" w:rsidR="00327ACE">
        <w:rPr>
          <w:rFonts w:cs="Arial"/>
          <w:b/>
          <w:bCs/>
          <w:sz w:val="16"/>
          <w:szCs w:val="16"/>
        </w:rPr>
        <w:t xml:space="preserve">el </w:t>
      </w:r>
      <w:r w:rsidRPr="000F4C38" w:rsidR="00B3689D">
        <w:rPr>
          <w:rFonts w:cs="Arial"/>
          <w:b/>
          <w:bCs/>
          <w:sz w:val="16"/>
          <w:szCs w:val="16"/>
        </w:rPr>
        <w:t xml:space="preserve">plazo estimado para la integración de </w:t>
      </w:r>
      <w:r w:rsidRPr="000F4C38" w:rsidR="00352AAA">
        <w:rPr>
          <w:rFonts w:cs="Arial"/>
          <w:b/>
          <w:bCs/>
          <w:sz w:val="16"/>
          <w:szCs w:val="16"/>
        </w:rPr>
        <w:t>los mismos</w:t>
      </w:r>
      <w:r w:rsidRPr="000F4C38" w:rsidR="00B3689D">
        <w:rPr>
          <w:rFonts w:cs="Arial"/>
          <w:b/>
          <w:bCs/>
          <w:sz w:val="16"/>
          <w:szCs w:val="16"/>
        </w:rPr>
        <w:t xml:space="preserve"> </w:t>
      </w:r>
      <w:r w:rsidRPr="000F4C38" w:rsidR="0021589F">
        <w:rPr>
          <w:rFonts w:cs="Arial"/>
          <w:b/>
          <w:bCs/>
          <w:sz w:val="16"/>
          <w:szCs w:val="16"/>
        </w:rPr>
        <w:t xml:space="preserve">en el proceso de inversiones y para la definición de </w:t>
      </w:r>
      <w:r w:rsidRPr="000F4C38" w:rsidR="007E6B61">
        <w:rPr>
          <w:rFonts w:cs="Arial"/>
          <w:b/>
          <w:bCs/>
          <w:sz w:val="16"/>
          <w:szCs w:val="16"/>
        </w:rPr>
        <w:t xml:space="preserve">los mecanismos de identificación, medición, control y monitoreo </w:t>
      </w:r>
      <w:r w:rsidRPr="000F4C38" w:rsidR="003014E3">
        <w:rPr>
          <w:rFonts w:cs="Arial"/>
          <w:b/>
          <w:bCs/>
          <w:sz w:val="16"/>
          <w:szCs w:val="16"/>
        </w:rPr>
        <w:t xml:space="preserve">de </w:t>
      </w:r>
      <w:r w:rsidRPr="00512403" w:rsidR="00DB6C47">
        <w:rPr>
          <w:rFonts w:cs="Arial"/>
          <w:b/>
          <w:bCs/>
          <w:sz w:val="16"/>
          <w:szCs w:val="16"/>
        </w:rPr>
        <w:t>estos riesgos.</w:t>
      </w:r>
    </w:p>
    <w:p w:rsidR="000C531B" w:rsidRPr="00512403" w:rsidP="000C531B" w14:paraId="2FDCB0AD" w14:textId="77777777">
      <w:pPr>
        <w:tabs>
          <w:tab w:val="num" w:pos="720"/>
        </w:tabs>
        <w:autoSpaceDE w:val="0"/>
        <w:autoSpaceDN w:val="0"/>
        <w:adjustRightInd w:val="0"/>
        <w:ind w:left="720" w:hanging="720"/>
        <w:rPr>
          <w:rFonts w:cs="Arial"/>
          <w:sz w:val="14"/>
          <w:szCs w:val="16"/>
        </w:rPr>
      </w:pPr>
    </w:p>
    <w:p w:rsidR="000C531B" w:rsidRPr="00512403" w:rsidP="000C531B" w14:paraId="2FDCB0AE" w14:textId="77777777">
      <w:pPr>
        <w:autoSpaceDE w:val="0"/>
        <w:autoSpaceDN w:val="0"/>
        <w:adjustRightInd w:val="0"/>
        <w:rPr>
          <w:rFonts w:cs="Arial"/>
          <w:sz w:val="16"/>
          <w:szCs w:val="16"/>
        </w:rPr>
      </w:pPr>
      <w:r w:rsidRPr="00512403">
        <w:rPr>
          <w:rFonts w:cs="Arial"/>
          <w:sz w:val="16"/>
          <w:szCs w:val="16"/>
        </w:rPr>
        <w:t>2.1.1.12. Gestión de los potenciales conflictos de interés en el proceso de selección y negociación de inversiones, en donde se indique por lo menos:</w:t>
      </w:r>
    </w:p>
    <w:p w:rsidR="000C531B" w:rsidRPr="00512403" w:rsidP="000C531B" w14:paraId="2FDCB0AF" w14:textId="77777777">
      <w:pPr>
        <w:tabs>
          <w:tab w:val="num" w:pos="720"/>
        </w:tabs>
        <w:autoSpaceDE w:val="0"/>
        <w:autoSpaceDN w:val="0"/>
        <w:adjustRightInd w:val="0"/>
        <w:ind w:left="720" w:hanging="720"/>
        <w:rPr>
          <w:rFonts w:cs="Arial"/>
          <w:sz w:val="14"/>
          <w:szCs w:val="16"/>
        </w:rPr>
      </w:pPr>
    </w:p>
    <w:p w:rsidR="000C531B" w:rsidRPr="00512403" w:rsidP="000C531B" w14:paraId="2FDCB0B0" w14:textId="77777777">
      <w:pPr>
        <w:autoSpaceDE w:val="0"/>
        <w:autoSpaceDN w:val="0"/>
        <w:adjustRightInd w:val="0"/>
        <w:rPr>
          <w:rFonts w:cs="Arial"/>
          <w:sz w:val="16"/>
          <w:szCs w:val="16"/>
        </w:rPr>
      </w:pPr>
      <w:r w:rsidRPr="00512403">
        <w:rPr>
          <w:rFonts w:cs="Arial"/>
          <w:sz w:val="16"/>
          <w:szCs w:val="16"/>
        </w:rPr>
        <w:t>2.1.1.12.1. Definición e identificación de situaciones generales que pueden generar conflictos de interés</w:t>
      </w:r>
    </w:p>
    <w:p w:rsidR="000C531B" w:rsidRPr="00512403" w:rsidP="000C531B" w14:paraId="2FDCB0B1" w14:textId="77777777">
      <w:pPr>
        <w:autoSpaceDE w:val="0"/>
        <w:autoSpaceDN w:val="0"/>
        <w:adjustRightInd w:val="0"/>
        <w:rPr>
          <w:rFonts w:cs="Arial"/>
          <w:sz w:val="16"/>
          <w:szCs w:val="16"/>
        </w:rPr>
      </w:pPr>
      <w:r w:rsidRPr="00512403">
        <w:rPr>
          <w:rFonts w:cs="Arial"/>
          <w:sz w:val="16"/>
          <w:szCs w:val="16"/>
        </w:rPr>
        <w:t>2.1.1.12.2. Procedimientos para identificar y administrar cualquier operación que pueda dar lugar a conflictos de interés</w:t>
      </w:r>
    </w:p>
    <w:p w:rsidR="000C531B" w:rsidRPr="00512403" w:rsidP="000C531B" w14:paraId="2FDCB0B2" w14:textId="295BF715">
      <w:pPr>
        <w:autoSpaceDE w:val="0"/>
        <w:autoSpaceDN w:val="0"/>
        <w:adjustRightInd w:val="0"/>
        <w:rPr>
          <w:rFonts w:cs="Arial"/>
          <w:sz w:val="16"/>
          <w:szCs w:val="16"/>
        </w:rPr>
      </w:pPr>
      <w:r w:rsidRPr="00512403">
        <w:rPr>
          <w:rFonts w:cs="Arial"/>
          <w:sz w:val="16"/>
          <w:szCs w:val="16"/>
        </w:rPr>
        <w:t>2.1.1.12.3. Políticas adoptadas por la administradora para la negociación de títulos o valores admisibles cuyo emisor, garante, originador o propietario sea un vinculado a la administradora</w:t>
      </w:r>
      <w:r w:rsidRPr="00512403" w:rsidR="002E1A17">
        <w:rPr>
          <w:rFonts w:cs="Arial"/>
          <w:sz w:val="16"/>
          <w:szCs w:val="16"/>
        </w:rPr>
        <w:t>.</w:t>
      </w:r>
    </w:p>
    <w:p w:rsidR="00A66B7B" w:rsidRPr="00512403" w:rsidP="00A66B7B" w14:paraId="2FDCB0B4" w14:textId="6CC5AE14">
      <w:pPr>
        <w:autoSpaceDE w:val="0"/>
        <w:autoSpaceDN w:val="0"/>
        <w:adjustRightInd w:val="0"/>
        <w:rPr>
          <w:rFonts w:cs="Arial"/>
          <w:sz w:val="16"/>
          <w:szCs w:val="16"/>
        </w:rPr>
      </w:pPr>
      <w:r w:rsidRPr="00512403">
        <w:rPr>
          <w:rFonts w:cs="Arial"/>
          <w:sz w:val="16"/>
          <w:szCs w:val="16"/>
        </w:rPr>
        <w:t>2.1.1.12.4. Políticas adoptadas por la administradora en materia de celebración de contratos de depósitos a la vista en vinculados en los términos del art. 2.6.12.1.15 del Decreto 2555 de 2010, las cuales deben garantizar como mínimo que, en forma previa a la celebración del contrato, conste por escrito el análisis realizado, el cual debe referirse, por lo menos, a los siguientes aspectos: condiciones de mercado, remuneración de los depósitos, niveles de liquidez y estabilidad financiera de las</w:t>
      </w:r>
      <w:r w:rsidRPr="00512403" w:rsidR="00F35AB8">
        <w:rPr>
          <w:rFonts w:cs="Arial"/>
          <w:sz w:val="16"/>
          <w:szCs w:val="16"/>
        </w:rPr>
        <w:t xml:space="preserve"> </w:t>
      </w:r>
      <w:r w:rsidRPr="00512403">
        <w:rPr>
          <w:rFonts w:cs="Arial"/>
          <w:sz w:val="16"/>
          <w:szCs w:val="16"/>
        </w:rPr>
        <w:t>entidades con las que pretendan celebrar el contrato respectivo. En todo caso, las entidades vinculadas con las cuales se celebre el correspondiente contrato, deben ser evaluadas con los mismos criterios y rigor que se evalúan todas las contrapartes de los fondos administrados, buscando siempre la mejor alternativa para los recursos de los afiliados.</w:t>
      </w:r>
    </w:p>
    <w:p w:rsidR="00A66B7B" w:rsidRPr="00512403" w:rsidP="00A66B7B" w14:paraId="2FDCB0B5" w14:textId="77777777">
      <w:pPr>
        <w:autoSpaceDE w:val="0"/>
        <w:autoSpaceDN w:val="0"/>
        <w:adjustRightInd w:val="0"/>
        <w:rPr>
          <w:rFonts w:cs="Arial"/>
          <w:sz w:val="12"/>
          <w:szCs w:val="16"/>
        </w:rPr>
      </w:pPr>
    </w:p>
    <w:p w:rsidR="00A66B7B" w:rsidRPr="00512403" w:rsidP="00A66B7B" w14:paraId="2FDCB0B6" w14:textId="77777777">
      <w:pPr>
        <w:tabs>
          <w:tab w:val="left" w:pos="709"/>
        </w:tabs>
        <w:autoSpaceDE w:val="0"/>
        <w:autoSpaceDN w:val="0"/>
        <w:adjustRightInd w:val="0"/>
        <w:rPr>
          <w:rFonts w:cs="Arial"/>
          <w:sz w:val="16"/>
          <w:szCs w:val="16"/>
        </w:rPr>
      </w:pPr>
      <w:r w:rsidRPr="00512403">
        <w:rPr>
          <w:rFonts w:cs="Arial"/>
          <w:sz w:val="16"/>
          <w:szCs w:val="16"/>
        </w:rPr>
        <w:t>Las políticas señaladas en este numeral deben revisarse por lo menos anualmente.</w:t>
      </w:r>
    </w:p>
    <w:p w:rsidR="00A66B7B" w:rsidRPr="00512403" w:rsidP="00A66B7B" w14:paraId="2FDCB0B7" w14:textId="77777777">
      <w:pPr>
        <w:autoSpaceDE w:val="0"/>
        <w:autoSpaceDN w:val="0"/>
        <w:adjustRightInd w:val="0"/>
        <w:rPr>
          <w:rFonts w:cs="Arial"/>
          <w:sz w:val="12"/>
          <w:szCs w:val="16"/>
        </w:rPr>
      </w:pPr>
      <w:r w:rsidRPr="00512403">
        <w:rPr>
          <w:rFonts w:cs="Arial"/>
          <w:sz w:val="12"/>
          <w:szCs w:val="16"/>
        </w:rPr>
        <w:t xml:space="preserve">                                                                                                                                                                                                                                                                                                                                                                                                                                                        </w:t>
      </w:r>
    </w:p>
    <w:p w:rsidR="00A66B7B" w:rsidRPr="00512403" w:rsidP="00331B68" w14:paraId="2FDCB0B8" w14:textId="77777777">
      <w:pPr>
        <w:autoSpaceDE w:val="0"/>
        <w:autoSpaceDN w:val="0"/>
        <w:adjustRightInd w:val="0"/>
        <w:rPr>
          <w:rFonts w:cs="Arial"/>
          <w:bCs/>
          <w:color w:val="000000"/>
          <w:sz w:val="16"/>
          <w:szCs w:val="16"/>
        </w:rPr>
      </w:pPr>
      <w:r w:rsidRPr="00512403">
        <w:rPr>
          <w:rFonts w:cs="Arial"/>
          <w:bCs/>
          <w:color w:val="000000"/>
          <w:sz w:val="16"/>
          <w:szCs w:val="16"/>
        </w:rPr>
        <w:t>2.1.1.12.5. Las AFPC que hagan parte de un conglomerado financiero deben incluir en este numeral las directrices generales impartidas por el holding financiero en materia de conflictos de interés, a que se refiere el artículo 2.39.3.1.4 del Decreto 2555 de 2010.</w:t>
      </w:r>
    </w:p>
    <w:p w:rsidR="00A66B7B" w:rsidRPr="00512403" w:rsidP="00A66B7B" w14:paraId="2FDCB0B9" w14:textId="77777777">
      <w:pPr>
        <w:autoSpaceDE w:val="0"/>
        <w:autoSpaceDN w:val="0"/>
        <w:adjustRightInd w:val="0"/>
        <w:rPr>
          <w:rFonts w:cs="Arial"/>
          <w:sz w:val="12"/>
          <w:szCs w:val="16"/>
        </w:rPr>
      </w:pPr>
    </w:p>
    <w:p w:rsidR="00A66B7B" w:rsidRPr="00512403" w:rsidP="00A66B7B" w14:paraId="2FDCB0BA" w14:textId="1740AB34">
      <w:pPr>
        <w:autoSpaceDE w:val="0"/>
        <w:autoSpaceDN w:val="0"/>
        <w:adjustRightInd w:val="0"/>
        <w:rPr>
          <w:rFonts w:cs="Arial"/>
          <w:sz w:val="16"/>
          <w:szCs w:val="16"/>
        </w:rPr>
      </w:pPr>
      <w:r w:rsidRPr="00512403">
        <w:rPr>
          <w:rFonts w:cs="Arial"/>
          <w:sz w:val="16"/>
          <w:szCs w:val="16"/>
        </w:rPr>
        <w:t>2.1.1.13. Descripción del proceso mediante el cual las funciones de control de la administradora velan por la efectividad, eficiencia, transparencia y cumplimiento de las normas legales relacionadas con la negociación de las inversiones.</w:t>
      </w:r>
    </w:p>
    <w:p w:rsidR="004375B5" w:rsidRPr="00512403" w:rsidP="00A66B7B" w14:paraId="26F49A12" w14:textId="10C77684">
      <w:pPr>
        <w:autoSpaceDE w:val="0"/>
        <w:autoSpaceDN w:val="0"/>
        <w:adjustRightInd w:val="0"/>
        <w:rPr>
          <w:rFonts w:cs="Arial"/>
          <w:sz w:val="16"/>
          <w:szCs w:val="16"/>
        </w:rPr>
      </w:pPr>
    </w:p>
    <w:p w:rsidR="004375B5" w:rsidRPr="00512403" w:rsidP="00E65F4F" w14:paraId="4F1A4E7D" w14:textId="1F224E87">
      <w:pPr>
        <w:pBdr>
          <w:left w:val="single" w:sz="4" w:space="4" w:color="auto"/>
        </w:pBdr>
        <w:autoSpaceDE w:val="0"/>
        <w:autoSpaceDN w:val="0"/>
        <w:adjustRightInd w:val="0"/>
        <w:rPr>
          <w:rFonts w:cs="Arial"/>
          <w:b/>
          <w:bCs/>
          <w:sz w:val="16"/>
          <w:szCs w:val="16"/>
          <w:lang w:val="es-CO"/>
        </w:rPr>
      </w:pPr>
      <w:r w:rsidRPr="00512403">
        <w:rPr>
          <w:rFonts w:cs="Arial"/>
          <w:b/>
          <w:bCs/>
          <w:sz w:val="16"/>
          <w:szCs w:val="16"/>
        </w:rPr>
        <w:t xml:space="preserve">2.1.1.13.1. En las AFPC que hagan parte de un conglomerado financiero, el comité de </w:t>
      </w:r>
      <w:r w:rsidRPr="00512403" w:rsidR="00377095">
        <w:rPr>
          <w:rFonts w:cs="Arial"/>
          <w:b/>
          <w:bCs/>
          <w:sz w:val="16"/>
          <w:szCs w:val="16"/>
        </w:rPr>
        <w:t>auditoría</w:t>
      </w:r>
      <w:r w:rsidRPr="00512403">
        <w:rPr>
          <w:rFonts w:cs="Arial"/>
          <w:b/>
          <w:bCs/>
          <w:sz w:val="16"/>
          <w:szCs w:val="16"/>
        </w:rPr>
        <w:t xml:space="preserve"> adicionalmente debe llevar a cabo l</w:t>
      </w:r>
      <w:r w:rsidRPr="00512403" w:rsidR="00984E32">
        <w:rPr>
          <w:rFonts w:cs="Arial"/>
          <w:b/>
          <w:bCs/>
          <w:sz w:val="16"/>
          <w:szCs w:val="16"/>
        </w:rPr>
        <w:t>a</w:t>
      </w:r>
      <w:r w:rsidRPr="00512403">
        <w:rPr>
          <w:rFonts w:cs="Arial"/>
          <w:b/>
          <w:bCs/>
          <w:sz w:val="16"/>
          <w:szCs w:val="16"/>
        </w:rPr>
        <w:t xml:space="preserve"> </w:t>
      </w:r>
      <w:r w:rsidRPr="00512403" w:rsidR="00984E32">
        <w:rPr>
          <w:rFonts w:cs="Arial"/>
          <w:b/>
          <w:bCs/>
          <w:sz w:val="16"/>
          <w:szCs w:val="16"/>
        </w:rPr>
        <w:t>función</w:t>
      </w:r>
      <w:r w:rsidRPr="00512403">
        <w:rPr>
          <w:rFonts w:cs="Arial"/>
          <w:b/>
          <w:bCs/>
          <w:sz w:val="16"/>
          <w:szCs w:val="16"/>
        </w:rPr>
        <w:t xml:space="preserve"> establecida en</w:t>
      </w:r>
      <w:r w:rsidRPr="00512403" w:rsidR="00377095">
        <w:rPr>
          <w:rFonts w:cs="Arial"/>
          <w:b/>
          <w:bCs/>
          <w:sz w:val="16"/>
          <w:szCs w:val="16"/>
        </w:rPr>
        <w:t xml:space="preserve"> el </w:t>
      </w:r>
      <w:r w:rsidRPr="00512403">
        <w:rPr>
          <w:rFonts w:cs="Arial"/>
          <w:b/>
          <w:bCs/>
          <w:sz w:val="16"/>
          <w:szCs w:val="16"/>
        </w:rPr>
        <w:t xml:space="preserve">numeral </w:t>
      </w:r>
      <w:r w:rsidRPr="00512403" w:rsidR="00E65F4F">
        <w:rPr>
          <w:rFonts w:cs="Arial"/>
          <w:b/>
          <w:bCs/>
          <w:sz w:val="16"/>
          <w:szCs w:val="16"/>
        </w:rPr>
        <w:t xml:space="preserve">7 del </w:t>
      </w:r>
      <w:r w:rsidRPr="00512403">
        <w:rPr>
          <w:rFonts w:cs="Arial"/>
          <w:b/>
          <w:bCs/>
          <w:sz w:val="16"/>
          <w:szCs w:val="16"/>
        </w:rPr>
        <w:t>artículo 2.39.3.1.5. del Decreto 2555 de 2010.</w:t>
      </w:r>
    </w:p>
    <w:p w:rsidR="00EF5292" w:rsidRPr="00512403" w:rsidP="00E65F4F" w14:paraId="4C54C9E8" w14:textId="6BD2999A">
      <w:pPr>
        <w:pBdr>
          <w:left w:val="single" w:sz="4" w:space="4" w:color="auto"/>
        </w:pBdr>
        <w:autoSpaceDE w:val="0"/>
        <w:autoSpaceDN w:val="0"/>
        <w:adjustRightInd w:val="0"/>
        <w:rPr>
          <w:rFonts w:cs="Arial"/>
          <w:sz w:val="16"/>
          <w:szCs w:val="16"/>
        </w:rPr>
      </w:pPr>
    </w:p>
    <w:p w:rsidR="00EF5292" w:rsidRPr="00512403" w:rsidP="00331B68" w14:paraId="1AD6FB2D" w14:textId="429F2699">
      <w:pPr>
        <w:pStyle w:val="ListParagraph1"/>
        <w:pBdr>
          <w:left w:val="single" w:sz="4" w:space="4" w:color="auto"/>
        </w:pBdr>
        <w:ind w:left="0"/>
        <w:rPr>
          <w:bCs/>
          <w:sz w:val="16"/>
          <w:szCs w:val="16"/>
        </w:rPr>
      </w:pPr>
      <w:r w:rsidRPr="00512403">
        <w:rPr>
          <w:bCs/>
          <w:sz w:val="16"/>
          <w:szCs w:val="16"/>
        </w:rPr>
        <w:t xml:space="preserve">2.1.1.14. </w:t>
      </w:r>
      <w:r w:rsidR="00676EDE">
        <w:rPr>
          <w:bCs/>
          <w:sz w:val="16"/>
          <w:szCs w:val="16"/>
        </w:rPr>
        <w:t>I</w:t>
      </w:r>
      <w:r w:rsidRPr="00512403">
        <w:rPr>
          <w:bCs/>
          <w:sz w:val="16"/>
          <w:szCs w:val="16"/>
        </w:rPr>
        <w:t>nversiones alternativas</w:t>
      </w:r>
    </w:p>
    <w:p w:rsidR="00EF5292" w:rsidRPr="00512403" w:rsidP="00331B68" w14:paraId="446EB953" w14:textId="77777777">
      <w:pPr>
        <w:pStyle w:val="ListParagraph1"/>
        <w:pBdr>
          <w:left w:val="single" w:sz="4" w:space="4" w:color="auto"/>
        </w:pBdr>
        <w:ind w:left="0"/>
        <w:rPr>
          <w:bCs/>
          <w:sz w:val="16"/>
          <w:szCs w:val="16"/>
        </w:rPr>
      </w:pPr>
    </w:p>
    <w:p w:rsidR="00EF5292" w:rsidRPr="00512403" w:rsidP="00331B68" w14:paraId="66C88608" w14:textId="171EE4B7">
      <w:pPr>
        <w:pStyle w:val="ListParagraph1"/>
        <w:pBdr>
          <w:left w:val="single" w:sz="4" w:space="4" w:color="auto"/>
        </w:pBdr>
        <w:ind w:left="0"/>
        <w:rPr>
          <w:bCs/>
          <w:sz w:val="16"/>
          <w:szCs w:val="16"/>
        </w:rPr>
      </w:pPr>
      <w:r w:rsidRPr="00512403">
        <w:rPr>
          <w:bCs/>
          <w:sz w:val="16"/>
          <w:szCs w:val="16"/>
        </w:rPr>
        <w:t>La política de inversión debe incluir un capítulo de inversiones alternativas que desarrolle los contenidos mínimos incluidos en el presente subnumeral para las inversiones en los activos descritos en los numerales 1.10, 1.11, 2.7, 2.8, 2.9 y 2.10 del artículo 2.6.12.1.2 del Decreto 2555 de 2010</w:t>
      </w:r>
      <w:r w:rsidRPr="00512403" w:rsidR="00A17976">
        <w:rPr>
          <w:bCs/>
          <w:sz w:val="16"/>
          <w:szCs w:val="16"/>
        </w:rPr>
        <w:t xml:space="preserve">, considerados como alternativos. </w:t>
      </w:r>
    </w:p>
    <w:p w:rsidR="00217E38" w:rsidRPr="00512403" w:rsidP="00331B68" w14:paraId="1738F54F" w14:textId="7F278D58">
      <w:pPr>
        <w:pStyle w:val="ListParagraph1"/>
        <w:pBdr>
          <w:left w:val="single" w:sz="4" w:space="4" w:color="auto"/>
        </w:pBdr>
        <w:ind w:left="0"/>
        <w:rPr>
          <w:bCs/>
          <w:sz w:val="16"/>
          <w:szCs w:val="16"/>
        </w:rPr>
      </w:pPr>
    </w:p>
    <w:p w:rsidR="00FA4CB3" w:rsidRPr="00A67D36" w:rsidP="00331B68" w14:paraId="49B157FF" w14:textId="33BE0DBB">
      <w:pPr>
        <w:pStyle w:val="ListParagraph1"/>
        <w:pBdr>
          <w:left w:val="single" w:sz="4" w:space="4" w:color="auto"/>
        </w:pBdr>
        <w:ind w:left="0"/>
        <w:rPr>
          <w:sz w:val="16"/>
          <w:szCs w:val="16"/>
        </w:rPr>
      </w:pPr>
      <w:r w:rsidRPr="00A67D36">
        <w:rPr>
          <w:sz w:val="16"/>
          <w:szCs w:val="16"/>
        </w:rPr>
        <w:t xml:space="preserve">En el caso que </w:t>
      </w:r>
      <w:r w:rsidRPr="00A67D36" w:rsidR="008E04C4">
        <w:rPr>
          <w:sz w:val="16"/>
          <w:szCs w:val="16"/>
        </w:rPr>
        <w:t xml:space="preserve">alguno de estos contenidos se encuentre incluido en otro aparte de la política de inversión, se podrá hacer </w:t>
      </w:r>
      <w:r w:rsidRPr="00A67D36" w:rsidR="00D44202">
        <w:rPr>
          <w:sz w:val="16"/>
          <w:szCs w:val="16"/>
        </w:rPr>
        <w:t>alusión al mismo.</w:t>
      </w:r>
    </w:p>
    <w:p w:rsidR="00FA4CB3" w:rsidRPr="00512403" w:rsidP="00331B68" w14:paraId="430B7E6D" w14:textId="77777777">
      <w:pPr>
        <w:pStyle w:val="ListParagraph1"/>
        <w:pBdr>
          <w:left w:val="single" w:sz="4" w:space="4" w:color="auto"/>
        </w:pBdr>
        <w:ind w:left="0"/>
        <w:rPr>
          <w:bCs/>
          <w:sz w:val="16"/>
          <w:szCs w:val="16"/>
        </w:rPr>
      </w:pPr>
    </w:p>
    <w:p w:rsidR="00EE1034" w:rsidRPr="00512403" w:rsidP="00331B68" w14:paraId="39B74DF6" w14:textId="0B70FFF8">
      <w:pPr>
        <w:pStyle w:val="ListParagraph1"/>
        <w:pBdr>
          <w:left w:val="single" w:sz="4" w:space="4" w:color="auto"/>
        </w:pBdr>
        <w:ind w:left="0"/>
        <w:rPr>
          <w:bCs/>
          <w:sz w:val="16"/>
          <w:szCs w:val="16"/>
        </w:rPr>
      </w:pPr>
      <w:r w:rsidRPr="00512403">
        <w:rPr>
          <w:bCs/>
          <w:sz w:val="16"/>
          <w:szCs w:val="16"/>
        </w:rPr>
        <w:t xml:space="preserve">2.1.1.14.1. </w:t>
      </w:r>
      <w:r w:rsidRPr="00512403" w:rsidR="007A328C">
        <w:rPr>
          <w:bCs/>
          <w:sz w:val="16"/>
          <w:szCs w:val="16"/>
        </w:rPr>
        <w:t>Las p</w:t>
      </w:r>
      <w:r w:rsidRPr="00512403" w:rsidR="00B07DA9">
        <w:rPr>
          <w:bCs/>
          <w:sz w:val="16"/>
          <w:szCs w:val="16"/>
        </w:rPr>
        <w:t>olíticas adoptadas para la definición por parte de los comités de l</w:t>
      </w:r>
      <w:r w:rsidRPr="00512403">
        <w:rPr>
          <w:bCs/>
          <w:sz w:val="16"/>
          <w:szCs w:val="16"/>
        </w:rPr>
        <w:t>os modelos y metodologías por la AFP</w:t>
      </w:r>
      <w:r w:rsidRPr="00512403" w:rsidR="00787681">
        <w:rPr>
          <w:bCs/>
          <w:sz w:val="16"/>
          <w:szCs w:val="16"/>
        </w:rPr>
        <w:t>C</w:t>
      </w:r>
      <w:r w:rsidRPr="00512403">
        <w:rPr>
          <w:bCs/>
          <w:sz w:val="16"/>
          <w:szCs w:val="16"/>
        </w:rPr>
        <w:t xml:space="preserve"> para la medición y valoración del riesgo financiero asociado</w:t>
      </w:r>
      <w:r w:rsidR="00E90073">
        <w:rPr>
          <w:bCs/>
          <w:sz w:val="16"/>
          <w:szCs w:val="16"/>
        </w:rPr>
        <w:t xml:space="preserve"> a</w:t>
      </w:r>
      <w:r w:rsidRPr="00512403">
        <w:rPr>
          <w:bCs/>
          <w:sz w:val="16"/>
          <w:szCs w:val="16"/>
        </w:rPr>
        <w:t xml:space="preserve"> este tipo de inversiones, las cuales deben incorporar como mínimo los efectos de los riesgos de liquidez, mercado</w:t>
      </w:r>
      <w:r w:rsidR="00E90073">
        <w:rPr>
          <w:bCs/>
          <w:sz w:val="16"/>
          <w:szCs w:val="16"/>
        </w:rPr>
        <w:t xml:space="preserve"> y</w:t>
      </w:r>
      <w:r w:rsidRPr="00512403" w:rsidR="004841DB">
        <w:rPr>
          <w:bCs/>
          <w:sz w:val="16"/>
          <w:szCs w:val="16"/>
        </w:rPr>
        <w:t xml:space="preserve"> </w:t>
      </w:r>
      <w:r w:rsidRPr="00512403">
        <w:rPr>
          <w:bCs/>
          <w:sz w:val="16"/>
          <w:szCs w:val="16"/>
        </w:rPr>
        <w:t>crédito</w:t>
      </w:r>
      <w:r w:rsidRPr="00512403" w:rsidR="004841DB">
        <w:rPr>
          <w:bCs/>
          <w:sz w:val="16"/>
          <w:szCs w:val="16"/>
        </w:rPr>
        <w:t xml:space="preserve">, </w:t>
      </w:r>
      <w:r w:rsidRPr="00512403">
        <w:rPr>
          <w:bCs/>
          <w:sz w:val="16"/>
          <w:szCs w:val="16"/>
        </w:rPr>
        <w:t>en un análisis integral del portafolio.</w:t>
      </w:r>
    </w:p>
    <w:p w:rsidR="00EE1034" w:rsidRPr="00512403" w:rsidP="00331B68" w14:paraId="4492403D" w14:textId="77777777">
      <w:pPr>
        <w:pStyle w:val="ListParagraph1"/>
        <w:pBdr>
          <w:left w:val="single" w:sz="4" w:space="4" w:color="auto"/>
        </w:pBdr>
        <w:ind w:left="0"/>
        <w:rPr>
          <w:bCs/>
          <w:sz w:val="16"/>
          <w:szCs w:val="16"/>
        </w:rPr>
      </w:pPr>
    </w:p>
    <w:p w:rsidR="00EF5292" w:rsidRPr="00512403" w:rsidP="00331B68" w14:paraId="425EAA07" w14:textId="28931A23">
      <w:pPr>
        <w:pStyle w:val="ListParagraph1"/>
        <w:pBdr>
          <w:left w:val="single" w:sz="4" w:space="4" w:color="auto"/>
        </w:pBdr>
        <w:ind w:left="0"/>
        <w:rPr>
          <w:bCs/>
          <w:sz w:val="16"/>
          <w:szCs w:val="16"/>
        </w:rPr>
      </w:pPr>
      <w:r w:rsidRPr="00512403">
        <w:rPr>
          <w:bCs/>
          <w:sz w:val="16"/>
          <w:szCs w:val="16"/>
        </w:rPr>
        <w:t>2.1.1.14.</w:t>
      </w:r>
      <w:r w:rsidRPr="00512403" w:rsidR="00EE1034">
        <w:rPr>
          <w:bCs/>
          <w:sz w:val="16"/>
          <w:szCs w:val="16"/>
        </w:rPr>
        <w:t>2</w:t>
      </w:r>
      <w:r w:rsidRPr="00512403">
        <w:rPr>
          <w:bCs/>
          <w:sz w:val="16"/>
          <w:szCs w:val="16"/>
        </w:rPr>
        <w:t>. Las políticas y límites prudenciales internamente establecidos por la AFP</w:t>
      </w:r>
      <w:r w:rsidRPr="00512403" w:rsidR="00787681">
        <w:rPr>
          <w:bCs/>
          <w:sz w:val="16"/>
          <w:szCs w:val="16"/>
        </w:rPr>
        <w:t>C</w:t>
      </w:r>
      <w:r w:rsidRPr="00512403">
        <w:rPr>
          <w:bCs/>
          <w:sz w:val="16"/>
          <w:szCs w:val="16"/>
        </w:rPr>
        <w:t xml:space="preserve"> para la exposición al riesgo financiero asociado </w:t>
      </w:r>
      <w:r w:rsidR="00A87E82">
        <w:rPr>
          <w:bCs/>
          <w:sz w:val="16"/>
          <w:szCs w:val="16"/>
        </w:rPr>
        <w:t>a</w:t>
      </w:r>
      <w:r w:rsidRPr="00512403">
        <w:rPr>
          <w:bCs/>
          <w:sz w:val="16"/>
          <w:szCs w:val="16"/>
        </w:rPr>
        <w:t xml:space="preserve"> este tipo de inversiones. Estas políticas y l</w:t>
      </w:r>
      <w:r w:rsidRPr="00512403" w:rsidR="004167F0">
        <w:rPr>
          <w:bCs/>
          <w:sz w:val="16"/>
          <w:szCs w:val="16"/>
        </w:rPr>
        <w:t>í</w:t>
      </w:r>
      <w:r w:rsidRPr="00512403">
        <w:rPr>
          <w:bCs/>
          <w:sz w:val="16"/>
          <w:szCs w:val="16"/>
        </w:rPr>
        <w:t xml:space="preserve">mites deben </w:t>
      </w:r>
      <w:r w:rsidRPr="00512403" w:rsidR="008A7025">
        <w:rPr>
          <w:bCs/>
          <w:sz w:val="16"/>
          <w:szCs w:val="16"/>
        </w:rPr>
        <w:t xml:space="preserve">incorporar como mínimo los riesgos de liquidez, </w:t>
      </w:r>
      <w:r w:rsidRPr="00512403" w:rsidR="00C32659">
        <w:rPr>
          <w:bCs/>
          <w:sz w:val="16"/>
          <w:szCs w:val="16"/>
        </w:rPr>
        <w:t>mercado</w:t>
      </w:r>
      <w:r w:rsidRPr="00512403" w:rsidR="004841DB">
        <w:rPr>
          <w:bCs/>
          <w:sz w:val="16"/>
          <w:szCs w:val="16"/>
        </w:rPr>
        <w:t xml:space="preserve">, </w:t>
      </w:r>
      <w:r w:rsidRPr="00512403" w:rsidR="001C189D">
        <w:rPr>
          <w:bCs/>
          <w:sz w:val="16"/>
          <w:szCs w:val="16"/>
        </w:rPr>
        <w:t xml:space="preserve">y </w:t>
      </w:r>
      <w:r w:rsidRPr="00512403" w:rsidR="004841DB">
        <w:rPr>
          <w:bCs/>
          <w:sz w:val="16"/>
          <w:szCs w:val="16"/>
        </w:rPr>
        <w:t xml:space="preserve">crédito, </w:t>
      </w:r>
      <w:r w:rsidRPr="00512403" w:rsidR="008A7025">
        <w:rPr>
          <w:bCs/>
          <w:sz w:val="16"/>
          <w:szCs w:val="16"/>
        </w:rPr>
        <w:t xml:space="preserve">y </w:t>
      </w:r>
      <w:r w:rsidRPr="00512403" w:rsidR="004167F0">
        <w:rPr>
          <w:bCs/>
          <w:sz w:val="16"/>
          <w:szCs w:val="16"/>
        </w:rPr>
        <w:t xml:space="preserve">deben </w:t>
      </w:r>
      <w:r w:rsidRPr="00512403">
        <w:rPr>
          <w:bCs/>
          <w:sz w:val="16"/>
          <w:szCs w:val="16"/>
        </w:rPr>
        <w:t>ser consistentes con los objetivos y la estrategia de inversión del portafolio</w:t>
      </w:r>
      <w:r w:rsidRPr="00512403" w:rsidR="00C47F02">
        <w:rPr>
          <w:bCs/>
          <w:sz w:val="16"/>
          <w:szCs w:val="16"/>
        </w:rPr>
        <w:t>.</w:t>
      </w:r>
    </w:p>
    <w:p w:rsidR="00EF5292" w:rsidRPr="00512403" w:rsidP="00331B68" w14:paraId="266C9F5C" w14:textId="77777777">
      <w:pPr>
        <w:pStyle w:val="ListParagraph1"/>
        <w:pBdr>
          <w:left w:val="single" w:sz="4" w:space="4" w:color="auto"/>
        </w:pBdr>
        <w:ind w:left="0"/>
        <w:rPr>
          <w:bCs/>
          <w:sz w:val="16"/>
          <w:szCs w:val="16"/>
        </w:rPr>
      </w:pPr>
    </w:p>
    <w:p w:rsidR="00EF5292" w:rsidRPr="00512403" w:rsidP="00331B68" w14:paraId="302A5D92" w14:textId="2A46EB53">
      <w:pPr>
        <w:pStyle w:val="ListParagraph1"/>
        <w:pBdr>
          <w:left w:val="single" w:sz="4" w:space="4" w:color="auto"/>
        </w:pBdr>
        <w:ind w:left="0"/>
        <w:rPr>
          <w:bCs/>
          <w:sz w:val="16"/>
          <w:szCs w:val="16"/>
        </w:rPr>
      </w:pPr>
      <w:r w:rsidRPr="00512403">
        <w:rPr>
          <w:bCs/>
          <w:sz w:val="16"/>
          <w:szCs w:val="16"/>
        </w:rPr>
        <w:t xml:space="preserve">2.1.1.14.3. </w:t>
      </w:r>
      <w:r w:rsidRPr="00512403" w:rsidR="007A328C">
        <w:rPr>
          <w:bCs/>
          <w:sz w:val="16"/>
          <w:szCs w:val="16"/>
        </w:rPr>
        <w:t>Las p</w:t>
      </w:r>
      <w:r w:rsidRPr="00512403" w:rsidR="003178DD">
        <w:rPr>
          <w:bCs/>
          <w:sz w:val="16"/>
          <w:szCs w:val="16"/>
        </w:rPr>
        <w:t>olíticas adoptadas para la definición por parte de los comités de l</w:t>
      </w:r>
      <w:r w:rsidRPr="00512403">
        <w:rPr>
          <w:bCs/>
          <w:sz w:val="16"/>
          <w:szCs w:val="16"/>
        </w:rPr>
        <w:t xml:space="preserve">os procesos para la </w:t>
      </w:r>
      <w:r w:rsidRPr="00512403" w:rsidR="00C0109A">
        <w:rPr>
          <w:bCs/>
          <w:sz w:val="16"/>
          <w:szCs w:val="16"/>
        </w:rPr>
        <w:t xml:space="preserve">identificación, </w:t>
      </w:r>
      <w:r w:rsidRPr="00512403">
        <w:rPr>
          <w:bCs/>
          <w:sz w:val="16"/>
          <w:szCs w:val="16"/>
        </w:rPr>
        <w:t xml:space="preserve">medición, monitoreo y reporte de los riesgos financiero y </w:t>
      </w:r>
      <w:r w:rsidRPr="00512403" w:rsidR="009812FE">
        <w:rPr>
          <w:bCs/>
          <w:sz w:val="16"/>
          <w:szCs w:val="16"/>
        </w:rPr>
        <w:t>operacional</w:t>
      </w:r>
      <w:r w:rsidRPr="00512403">
        <w:rPr>
          <w:bCs/>
          <w:sz w:val="16"/>
          <w:szCs w:val="16"/>
        </w:rPr>
        <w:t xml:space="preserve"> asociados </w:t>
      </w:r>
      <w:r w:rsidR="00A87E82">
        <w:rPr>
          <w:bCs/>
          <w:sz w:val="16"/>
          <w:szCs w:val="16"/>
        </w:rPr>
        <w:t>a</w:t>
      </w:r>
      <w:r w:rsidRPr="00512403">
        <w:rPr>
          <w:bCs/>
          <w:sz w:val="16"/>
          <w:szCs w:val="16"/>
        </w:rPr>
        <w:t xml:space="preserve"> este tipo de inversiones</w:t>
      </w:r>
      <w:r w:rsidRPr="00512403" w:rsidR="00792CF6">
        <w:rPr>
          <w:bCs/>
          <w:sz w:val="16"/>
          <w:szCs w:val="16"/>
        </w:rPr>
        <w:t>, l</w:t>
      </w:r>
      <w:r w:rsidRPr="00512403" w:rsidR="004167F0">
        <w:rPr>
          <w:bCs/>
          <w:sz w:val="16"/>
          <w:szCs w:val="16"/>
        </w:rPr>
        <w:t>o</w:t>
      </w:r>
      <w:r w:rsidRPr="00512403" w:rsidR="00792CF6">
        <w:rPr>
          <w:bCs/>
          <w:sz w:val="16"/>
          <w:szCs w:val="16"/>
        </w:rPr>
        <w:t xml:space="preserve">s cuales deben incorporar como mínimo los riesgos de liquidez, mercado y </w:t>
      </w:r>
      <w:r w:rsidRPr="00512403" w:rsidR="0083738A">
        <w:rPr>
          <w:bCs/>
          <w:sz w:val="16"/>
          <w:szCs w:val="16"/>
        </w:rPr>
        <w:t xml:space="preserve">crédito </w:t>
      </w:r>
      <w:r w:rsidRPr="00512403" w:rsidR="00955BF8">
        <w:rPr>
          <w:bCs/>
          <w:sz w:val="16"/>
          <w:szCs w:val="16"/>
        </w:rPr>
        <w:t>en el riesgo financiero.</w:t>
      </w:r>
    </w:p>
    <w:p w:rsidR="00EF5292" w:rsidRPr="00512403" w:rsidP="00331B68" w14:paraId="64547903" w14:textId="77777777">
      <w:pPr>
        <w:pStyle w:val="ListParagraph1"/>
        <w:pBdr>
          <w:left w:val="single" w:sz="4" w:space="4" w:color="auto"/>
        </w:pBdr>
        <w:ind w:left="0"/>
        <w:rPr>
          <w:bCs/>
          <w:sz w:val="16"/>
          <w:szCs w:val="16"/>
        </w:rPr>
      </w:pPr>
    </w:p>
    <w:p w:rsidR="0083738A" w:rsidRPr="00512403" w:rsidP="00331B68" w14:paraId="32990EDD" w14:textId="0EF6B9E9">
      <w:pPr>
        <w:pStyle w:val="ListParagraph1"/>
        <w:pBdr>
          <w:left w:val="single" w:sz="4" w:space="4" w:color="auto"/>
        </w:pBdr>
        <w:ind w:left="0"/>
        <w:rPr>
          <w:bCs/>
          <w:sz w:val="16"/>
          <w:szCs w:val="16"/>
        </w:rPr>
      </w:pPr>
      <w:r w:rsidRPr="00512403">
        <w:rPr>
          <w:bCs/>
          <w:sz w:val="16"/>
          <w:szCs w:val="16"/>
        </w:rPr>
        <w:t>2.1.1.14.4. Las políticas y medidas de control interno adoptadas por la AFP</w:t>
      </w:r>
      <w:r w:rsidRPr="00512403" w:rsidR="00787681">
        <w:rPr>
          <w:bCs/>
          <w:sz w:val="16"/>
          <w:szCs w:val="16"/>
        </w:rPr>
        <w:t>C</w:t>
      </w:r>
      <w:r w:rsidRPr="00512403">
        <w:rPr>
          <w:bCs/>
          <w:sz w:val="16"/>
          <w:szCs w:val="16"/>
        </w:rPr>
        <w:t xml:space="preserve"> para corregir cualquier desviación que ocurra con respecto a la máxima exposición a los riesgos financiero y operacional establecida en la </w:t>
      </w:r>
      <w:r w:rsidR="00533F43">
        <w:rPr>
          <w:bCs/>
          <w:sz w:val="16"/>
          <w:szCs w:val="16"/>
        </w:rPr>
        <w:t>p</w:t>
      </w:r>
      <w:r w:rsidRPr="00512403">
        <w:rPr>
          <w:bCs/>
          <w:sz w:val="16"/>
          <w:szCs w:val="16"/>
        </w:rPr>
        <w:t xml:space="preserve">olítica de </w:t>
      </w:r>
      <w:r w:rsidR="00533F43">
        <w:rPr>
          <w:bCs/>
          <w:sz w:val="16"/>
          <w:szCs w:val="16"/>
        </w:rPr>
        <w:t>i</w:t>
      </w:r>
      <w:r w:rsidRPr="00512403">
        <w:rPr>
          <w:bCs/>
          <w:sz w:val="16"/>
          <w:szCs w:val="16"/>
        </w:rPr>
        <w:t>nversión</w:t>
      </w:r>
      <w:r w:rsidRPr="00512403">
        <w:rPr>
          <w:bCs/>
          <w:sz w:val="16"/>
          <w:szCs w:val="16"/>
        </w:rPr>
        <w:t xml:space="preserve">, las cuales deben incorporar como mínimo los riesgos de liquidez, mercado </w:t>
      </w:r>
      <w:r w:rsidRPr="00512403" w:rsidR="001C189D">
        <w:rPr>
          <w:bCs/>
          <w:sz w:val="16"/>
          <w:szCs w:val="16"/>
        </w:rPr>
        <w:t xml:space="preserve">y </w:t>
      </w:r>
      <w:r w:rsidRPr="00512403">
        <w:rPr>
          <w:bCs/>
          <w:sz w:val="16"/>
          <w:szCs w:val="16"/>
        </w:rPr>
        <w:t>crédito</w:t>
      </w:r>
      <w:r w:rsidRPr="00512403" w:rsidR="001C189D">
        <w:rPr>
          <w:bCs/>
          <w:color w:val="FF0000"/>
          <w:sz w:val="16"/>
          <w:szCs w:val="16"/>
        </w:rPr>
        <w:t xml:space="preserve"> </w:t>
      </w:r>
      <w:r w:rsidRPr="00512403">
        <w:rPr>
          <w:bCs/>
          <w:sz w:val="16"/>
          <w:szCs w:val="16"/>
        </w:rPr>
        <w:t>en el riesgo financiero.</w:t>
      </w:r>
    </w:p>
    <w:p w:rsidR="0083738A" w:rsidRPr="00512403" w:rsidP="00331B68" w14:paraId="758A5C29" w14:textId="77777777">
      <w:pPr>
        <w:pStyle w:val="ListParagraph1"/>
        <w:pBdr>
          <w:left w:val="single" w:sz="4" w:space="4" w:color="auto"/>
        </w:pBdr>
        <w:ind w:left="0"/>
        <w:rPr>
          <w:bCs/>
          <w:sz w:val="16"/>
          <w:szCs w:val="16"/>
        </w:rPr>
      </w:pPr>
    </w:p>
    <w:p w:rsidR="00EF5292" w:rsidRPr="00512403" w:rsidP="00331B68" w14:paraId="558A3B63" w14:textId="232FAACE">
      <w:pPr>
        <w:pStyle w:val="ListParagraph1"/>
        <w:pBdr>
          <w:left w:val="single" w:sz="4" w:space="4" w:color="auto"/>
        </w:pBdr>
        <w:ind w:left="0"/>
        <w:rPr>
          <w:bCs/>
          <w:sz w:val="16"/>
          <w:szCs w:val="16"/>
        </w:rPr>
      </w:pPr>
      <w:r w:rsidRPr="00512403">
        <w:rPr>
          <w:bCs/>
          <w:sz w:val="16"/>
          <w:szCs w:val="16"/>
        </w:rPr>
        <w:t>Estas políticas deben</w:t>
      </w:r>
      <w:r w:rsidRPr="00512403" w:rsidR="00217E38">
        <w:rPr>
          <w:bCs/>
          <w:sz w:val="16"/>
          <w:szCs w:val="16"/>
        </w:rPr>
        <w:t xml:space="preserve"> incluir</w:t>
      </w:r>
      <w:r w:rsidRPr="00512403">
        <w:rPr>
          <w:bCs/>
          <w:sz w:val="16"/>
          <w:szCs w:val="16"/>
        </w:rPr>
        <w:t xml:space="preserve"> el procedimiento, requisitos, </w:t>
      </w:r>
      <w:r w:rsidRPr="00512403" w:rsidR="00824B8F">
        <w:rPr>
          <w:bCs/>
          <w:sz w:val="16"/>
          <w:szCs w:val="16"/>
        </w:rPr>
        <w:t xml:space="preserve">e </w:t>
      </w:r>
      <w:r w:rsidRPr="00512403">
        <w:rPr>
          <w:bCs/>
          <w:sz w:val="16"/>
          <w:szCs w:val="16"/>
        </w:rPr>
        <w:t>instancias responsables</w:t>
      </w:r>
      <w:r w:rsidRPr="00512403" w:rsidR="0022441D">
        <w:rPr>
          <w:bCs/>
          <w:sz w:val="16"/>
          <w:szCs w:val="16"/>
        </w:rPr>
        <w:t xml:space="preserve"> con sus niveles de atribución</w:t>
      </w:r>
      <w:r w:rsidRPr="00512403" w:rsidR="004E17EA">
        <w:rPr>
          <w:bCs/>
          <w:sz w:val="16"/>
          <w:szCs w:val="16"/>
        </w:rPr>
        <w:t xml:space="preserve"> para reestablecer el cumplimiento de los límites.</w:t>
      </w:r>
    </w:p>
    <w:p w:rsidR="003B703E" w:rsidRPr="00512403" w:rsidP="00331B68" w14:paraId="7AB9447F" w14:textId="19D902E1">
      <w:pPr>
        <w:pStyle w:val="ListParagraph1"/>
        <w:pBdr>
          <w:left w:val="single" w:sz="4" w:space="4" w:color="auto"/>
        </w:pBdr>
        <w:ind w:left="0"/>
        <w:rPr>
          <w:bCs/>
          <w:sz w:val="16"/>
          <w:szCs w:val="16"/>
        </w:rPr>
      </w:pPr>
    </w:p>
    <w:p w:rsidR="009B4883" w:rsidRPr="00512403" w:rsidP="00331B68" w14:paraId="35502FB4" w14:textId="561D7B8B">
      <w:pPr>
        <w:pStyle w:val="ListParagraph1"/>
        <w:pBdr>
          <w:left w:val="single" w:sz="4" w:space="4" w:color="auto"/>
        </w:pBdr>
        <w:ind w:left="0"/>
        <w:rPr>
          <w:sz w:val="16"/>
          <w:szCs w:val="16"/>
        </w:rPr>
      </w:pPr>
      <w:r w:rsidRPr="00512403">
        <w:rPr>
          <w:bCs/>
          <w:sz w:val="16"/>
          <w:szCs w:val="16"/>
        </w:rPr>
        <w:t>2.1.1.14.</w:t>
      </w:r>
      <w:r w:rsidRPr="00512403" w:rsidR="002E2085">
        <w:rPr>
          <w:bCs/>
          <w:sz w:val="16"/>
          <w:szCs w:val="16"/>
        </w:rPr>
        <w:t>5</w:t>
      </w:r>
      <w:r w:rsidRPr="00512403">
        <w:rPr>
          <w:bCs/>
          <w:sz w:val="16"/>
          <w:szCs w:val="16"/>
        </w:rPr>
        <w:t xml:space="preserve">. </w:t>
      </w:r>
      <w:r w:rsidRPr="00512403" w:rsidR="008B3F1A">
        <w:rPr>
          <w:sz w:val="16"/>
          <w:szCs w:val="16"/>
        </w:rPr>
        <w:t>Condiciones profesionales exigidas al personal interno o externo relacionad</w:t>
      </w:r>
      <w:r w:rsidR="003C1294">
        <w:rPr>
          <w:sz w:val="16"/>
          <w:szCs w:val="16"/>
        </w:rPr>
        <w:t>o</w:t>
      </w:r>
      <w:r w:rsidRPr="00512403" w:rsidR="008B3F1A">
        <w:rPr>
          <w:sz w:val="16"/>
          <w:szCs w:val="16"/>
        </w:rPr>
        <w:t xml:space="preserve"> con los procesos estratégicos, de inversiones y de supervisión </w:t>
      </w:r>
      <w:r w:rsidRPr="00512403" w:rsidR="00550DF9">
        <w:rPr>
          <w:sz w:val="16"/>
          <w:szCs w:val="16"/>
        </w:rPr>
        <w:t>de las inversiones alternativas.</w:t>
      </w:r>
    </w:p>
    <w:p w:rsidR="00550DF9" w:rsidRPr="00512403" w:rsidP="00331B68" w14:paraId="29C2DD6D" w14:textId="33B561A9">
      <w:pPr>
        <w:pStyle w:val="ListParagraph1"/>
        <w:pBdr>
          <w:left w:val="single" w:sz="4" w:space="4" w:color="auto"/>
        </w:pBdr>
        <w:ind w:left="0"/>
        <w:rPr>
          <w:sz w:val="16"/>
          <w:szCs w:val="16"/>
        </w:rPr>
      </w:pPr>
    </w:p>
    <w:p w:rsidR="00550DF9" w:rsidRPr="00512403" w:rsidP="00331B68" w14:paraId="507059AC" w14:textId="7D0F0977">
      <w:pPr>
        <w:pStyle w:val="ListParagraph1"/>
        <w:pBdr>
          <w:left w:val="single" w:sz="4" w:space="4" w:color="auto"/>
        </w:pBdr>
        <w:ind w:left="0"/>
        <w:rPr>
          <w:sz w:val="16"/>
          <w:szCs w:val="16"/>
        </w:rPr>
      </w:pPr>
      <w:r w:rsidRPr="00512403">
        <w:rPr>
          <w:sz w:val="16"/>
          <w:szCs w:val="16"/>
        </w:rPr>
        <w:t>2.1.1.14.</w:t>
      </w:r>
      <w:r w:rsidRPr="00512403" w:rsidR="004E17EA">
        <w:rPr>
          <w:sz w:val="16"/>
          <w:szCs w:val="16"/>
        </w:rPr>
        <w:t>6</w:t>
      </w:r>
      <w:r w:rsidRPr="00512403">
        <w:rPr>
          <w:sz w:val="16"/>
          <w:szCs w:val="16"/>
        </w:rPr>
        <w:t xml:space="preserve">. Criterios de selección de las inversiones alternativas </w:t>
      </w:r>
      <w:r w:rsidRPr="00512403" w:rsidR="004F6C69">
        <w:rPr>
          <w:sz w:val="16"/>
          <w:szCs w:val="16"/>
        </w:rPr>
        <w:t>que incluyan:</w:t>
      </w:r>
    </w:p>
    <w:p w:rsidR="004F6C69" w:rsidRPr="00512403" w:rsidP="00331B68" w14:paraId="6A2EE511" w14:textId="2416B6F0">
      <w:pPr>
        <w:pStyle w:val="ListParagraph1"/>
        <w:pBdr>
          <w:left w:val="single" w:sz="4" w:space="4" w:color="auto"/>
        </w:pBdr>
        <w:ind w:left="0"/>
        <w:rPr>
          <w:sz w:val="16"/>
          <w:szCs w:val="16"/>
        </w:rPr>
      </w:pPr>
    </w:p>
    <w:p w:rsidR="00E6476B" w:rsidRPr="00512403" w:rsidP="00331B68" w14:paraId="20009BEA" w14:textId="620CCD99">
      <w:pPr>
        <w:pStyle w:val="ListParagraph1"/>
        <w:pBdr>
          <w:left w:val="single" w:sz="4" w:space="4" w:color="auto"/>
        </w:pBdr>
        <w:ind w:left="0"/>
        <w:rPr>
          <w:sz w:val="16"/>
          <w:szCs w:val="16"/>
        </w:rPr>
      </w:pPr>
      <w:r w:rsidRPr="00512403">
        <w:rPr>
          <w:sz w:val="16"/>
          <w:szCs w:val="16"/>
        </w:rPr>
        <w:t>2.1.1.14.</w:t>
      </w:r>
      <w:r w:rsidRPr="00512403" w:rsidR="004E17EA">
        <w:rPr>
          <w:sz w:val="16"/>
          <w:szCs w:val="16"/>
        </w:rPr>
        <w:t>6</w:t>
      </w:r>
      <w:r w:rsidRPr="00512403">
        <w:rPr>
          <w:sz w:val="16"/>
          <w:szCs w:val="16"/>
        </w:rPr>
        <w:t xml:space="preserve">.1. </w:t>
      </w:r>
      <w:r w:rsidRPr="00512403" w:rsidR="00386E36">
        <w:rPr>
          <w:sz w:val="16"/>
          <w:szCs w:val="16"/>
        </w:rPr>
        <w:t>Los criterios y objetivos que se pretenden lograr al realizar la inversión</w:t>
      </w:r>
      <w:r w:rsidR="00C227F3">
        <w:rPr>
          <w:sz w:val="16"/>
          <w:szCs w:val="16"/>
        </w:rPr>
        <w:t>,</w:t>
      </w:r>
      <w:r w:rsidRPr="00512403">
        <w:rPr>
          <w:sz w:val="16"/>
          <w:szCs w:val="16"/>
        </w:rPr>
        <w:t xml:space="preserve"> de acuerdo con las evaluaciones de la relación riesgo-retorno de esta frente a los resultados esperados.</w:t>
      </w:r>
    </w:p>
    <w:p w:rsidR="00E6476B" w:rsidRPr="00512403" w:rsidP="00331B68" w14:paraId="4B14D4B1" w14:textId="526A34AD">
      <w:pPr>
        <w:pStyle w:val="ListParagraph1"/>
        <w:pBdr>
          <w:left w:val="single" w:sz="4" w:space="4" w:color="auto"/>
        </w:pBdr>
        <w:ind w:left="0"/>
        <w:rPr>
          <w:sz w:val="16"/>
          <w:szCs w:val="16"/>
        </w:rPr>
      </w:pPr>
    </w:p>
    <w:p w:rsidR="004F6C69" w:rsidRPr="00512403" w:rsidP="00331B68" w14:paraId="1674CF09" w14:textId="23F75B2A">
      <w:pPr>
        <w:pStyle w:val="ListParagraph1"/>
        <w:pBdr>
          <w:left w:val="single" w:sz="4" w:space="4" w:color="auto"/>
        </w:pBdr>
        <w:ind w:left="0"/>
        <w:rPr>
          <w:sz w:val="16"/>
          <w:szCs w:val="16"/>
        </w:rPr>
      </w:pPr>
      <w:r w:rsidRPr="00512403">
        <w:rPr>
          <w:sz w:val="16"/>
          <w:szCs w:val="16"/>
        </w:rPr>
        <w:t>2.1.1.14.</w:t>
      </w:r>
      <w:r w:rsidRPr="00512403" w:rsidR="004E17EA">
        <w:rPr>
          <w:sz w:val="16"/>
          <w:szCs w:val="16"/>
        </w:rPr>
        <w:t>6</w:t>
      </w:r>
      <w:r w:rsidRPr="00512403">
        <w:rPr>
          <w:sz w:val="16"/>
          <w:szCs w:val="16"/>
        </w:rPr>
        <w:t xml:space="preserve">.2. </w:t>
      </w:r>
      <w:r w:rsidRPr="00512403" w:rsidR="00F676AA">
        <w:rPr>
          <w:sz w:val="16"/>
          <w:szCs w:val="16"/>
        </w:rPr>
        <w:t xml:space="preserve">Las políticas generales para </w:t>
      </w:r>
      <w:r w:rsidRPr="00512403" w:rsidR="00A904AC">
        <w:rPr>
          <w:sz w:val="16"/>
          <w:szCs w:val="16"/>
        </w:rPr>
        <w:t xml:space="preserve">clasificar los activos subyacentes de los </w:t>
      </w:r>
      <w:r w:rsidRPr="00512403" w:rsidR="00FC6569">
        <w:rPr>
          <w:sz w:val="16"/>
          <w:szCs w:val="16"/>
        </w:rPr>
        <w:t xml:space="preserve">fondos o esquemas de inversión </w:t>
      </w:r>
      <w:r w:rsidRPr="00512403" w:rsidR="007C1746">
        <w:rPr>
          <w:sz w:val="16"/>
          <w:szCs w:val="16"/>
        </w:rPr>
        <w:t xml:space="preserve">como </w:t>
      </w:r>
      <w:r w:rsidRPr="00512403" w:rsidR="00B470AF">
        <w:rPr>
          <w:sz w:val="16"/>
          <w:szCs w:val="16"/>
        </w:rPr>
        <w:t xml:space="preserve">activos ubicados en el exterior </w:t>
      </w:r>
      <w:r w:rsidRPr="00512403" w:rsidR="00C7771E">
        <w:rPr>
          <w:sz w:val="16"/>
          <w:szCs w:val="16"/>
        </w:rPr>
        <w:t xml:space="preserve">en jurisdicciones </w:t>
      </w:r>
      <w:r w:rsidRPr="00512403" w:rsidR="00B470AF">
        <w:rPr>
          <w:sz w:val="16"/>
          <w:szCs w:val="16"/>
        </w:rPr>
        <w:t xml:space="preserve">que no hagan parte de </w:t>
      </w:r>
      <w:r w:rsidRPr="00512403" w:rsidR="00EC3056">
        <w:rPr>
          <w:sz w:val="16"/>
          <w:szCs w:val="16"/>
        </w:rPr>
        <w:t>la Alianza del Pacifico</w:t>
      </w:r>
      <w:r w:rsidRPr="00512403" w:rsidR="00C7771E">
        <w:rPr>
          <w:sz w:val="16"/>
          <w:szCs w:val="16"/>
        </w:rPr>
        <w:t xml:space="preserve">, </w:t>
      </w:r>
      <w:r w:rsidRPr="00512403" w:rsidR="009C76F2">
        <w:rPr>
          <w:sz w:val="16"/>
          <w:szCs w:val="16"/>
        </w:rPr>
        <w:t xml:space="preserve">incluyendo una periodicidad de </w:t>
      </w:r>
      <w:r w:rsidRPr="00512403" w:rsidR="0010752E">
        <w:rPr>
          <w:sz w:val="16"/>
          <w:szCs w:val="16"/>
        </w:rPr>
        <w:t>verificación por lo menos trimestral.</w:t>
      </w:r>
    </w:p>
    <w:p w:rsidR="00550DF9" w:rsidRPr="00512403" w:rsidP="00331B68" w14:paraId="447F9DE7" w14:textId="77777777">
      <w:pPr>
        <w:pStyle w:val="ListParagraph1"/>
        <w:pBdr>
          <w:left w:val="single" w:sz="4" w:space="4" w:color="auto"/>
        </w:pBdr>
        <w:ind w:left="0"/>
        <w:rPr>
          <w:bCs/>
          <w:sz w:val="16"/>
          <w:szCs w:val="16"/>
        </w:rPr>
      </w:pPr>
    </w:p>
    <w:p w:rsidR="001374AE" w:rsidRPr="00512403" w:rsidP="00331B68" w14:paraId="77F8E2FD" w14:textId="7C8994E9">
      <w:pPr>
        <w:pBdr>
          <w:left w:val="single" w:sz="4" w:space="4" w:color="auto"/>
        </w:pBdr>
        <w:autoSpaceDE w:val="0"/>
        <w:autoSpaceDN w:val="0"/>
        <w:adjustRightInd w:val="0"/>
        <w:rPr>
          <w:rFonts w:cs="Arial"/>
          <w:b/>
          <w:bCs/>
          <w:sz w:val="16"/>
          <w:szCs w:val="16"/>
        </w:rPr>
      </w:pPr>
      <w:r w:rsidRPr="00512403">
        <w:rPr>
          <w:rFonts w:cs="Arial"/>
          <w:b/>
          <w:bCs/>
          <w:sz w:val="16"/>
          <w:szCs w:val="16"/>
        </w:rPr>
        <w:t>2.1.1.14.</w:t>
      </w:r>
      <w:r w:rsidRPr="00512403" w:rsidR="004E17EA">
        <w:rPr>
          <w:rFonts w:cs="Arial"/>
          <w:b/>
          <w:bCs/>
          <w:sz w:val="16"/>
          <w:szCs w:val="16"/>
        </w:rPr>
        <w:t>6</w:t>
      </w:r>
      <w:r w:rsidRPr="00512403">
        <w:rPr>
          <w:rFonts w:cs="Arial"/>
          <w:b/>
          <w:bCs/>
          <w:sz w:val="16"/>
          <w:szCs w:val="16"/>
        </w:rPr>
        <w:t xml:space="preserve">.3. </w:t>
      </w:r>
      <w:r w:rsidRPr="00512403" w:rsidR="00100308">
        <w:rPr>
          <w:rFonts w:cs="Arial"/>
          <w:b/>
          <w:bCs/>
          <w:sz w:val="16"/>
          <w:szCs w:val="16"/>
        </w:rPr>
        <w:t>Las p</w:t>
      </w:r>
      <w:r w:rsidRPr="00512403" w:rsidR="00A4337D">
        <w:rPr>
          <w:rFonts w:cs="Arial"/>
          <w:b/>
          <w:bCs/>
          <w:sz w:val="16"/>
          <w:szCs w:val="16"/>
        </w:rPr>
        <w:t>olíticas para definir las c</w:t>
      </w:r>
      <w:r w:rsidRPr="00512403" w:rsidR="00E52D90">
        <w:rPr>
          <w:rFonts w:cs="Arial"/>
          <w:b/>
          <w:bCs/>
          <w:sz w:val="16"/>
          <w:szCs w:val="16"/>
        </w:rPr>
        <w:t>ondiciones que deben cumplir los</w:t>
      </w:r>
      <w:r w:rsidRPr="00512403" w:rsidR="00A11AE2">
        <w:rPr>
          <w:rFonts w:cs="Arial"/>
          <w:b/>
          <w:bCs/>
          <w:sz w:val="16"/>
          <w:szCs w:val="16"/>
        </w:rPr>
        <w:t xml:space="preserve"> vehículos</w:t>
      </w:r>
      <w:r w:rsidR="00C166BC">
        <w:rPr>
          <w:rFonts w:cs="Arial"/>
          <w:b/>
          <w:bCs/>
          <w:sz w:val="16"/>
          <w:szCs w:val="16"/>
        </w:rPr>
        <w:t xml:space="preserve"> y/o</w:t>
      </w:r>
      <w:r w:rsidRPr="00512403" w:rsidR="009544FA">
        <w:rPr>
          <w:rFonts w:cs="Arial"/>
          <w:b/>
          <w:bCs/>
          <w:sz w:val="16"/>
          <w:szCs w:val="16"/>
        </w:rPr>
        <w:t xml:space="preserve"> </w:t>
      </w:r>
      <w:r w:rsidR="00D15996">
        <w:rPr>
          <w:rFonts w:cs="Arial"/>
          <w:b/>
          <w:bCs/>
          <w:sz w:val="16"/>
          <w:szCs w:val="16"/>
        </w:rPr>
        <w:t xml:space="preserve">contemplar las </w:t>
      </w:r>
      <w:r w:rsidRPr="00512403" w:rsidR="009544FA">
        <w:rPr>
          <w:rFonts w:cs="Arial"/>
          <w:b/>
          <w:bCs/>
          <w:sz w:val="16"/>
          <w:szCs w:val="16"/>
        </w:rPr>
        <w:t>estrategias</w:t>
      </w:r>
      <w:r w:rsidR="00D15996">
        <w:rPr>
          <w:rFonts w:cs="Arial"/>
          <w:b/>
          <w:bCs/>
          <w:sz w:val="16"/>
          <w:szCs w:val="16"/>
        </w:rPr>
        <w:t xml:space="preserve"> de estos</w:t>
      </w:r>
      <w:r w:rsidRPr="00512403" w:rsidR="009544FA">
        <w:rPr>
          <w:rFonts w:cs="Arial"/>
          <w:b/>
          <w:bCs/>
          <w:sz w:val="16"/>
          <w:szCs w:val="16"/>
        </w:rPr>
        <w:t>,</w:t>
      </w:r>
      <w:r w:rsidRPr="00512403" w:rsidR="00A11AE2">
        <w:rPr>
          <w:rFonts w:cs="Arial"/>
          <w:b/>
          <w:bCs/>
          <w:sz w:val="16"/>
          <w:szCs w:val="16"/>
        </w:rPr>
        <w:t xml:space="preserve"> </w:t>
      </w:r>
      <w:r w:rsidRPr="00512403" w:rsidR="00DC3655">
        <w:rPr>
          <w:rFonts w:cs="Arial"/>
          <w:b/>
          <w:bCs/>
          <w:sz w:val="16"/>
          <w:szCs w:val="16"/>
        </w:rPr>
        <w:t>tales como</w:t>
      </w:r>
      <w:r w:rsidR="002C1425">
        <w:rPr>
          <w:rFonts w:cs="Arial"/>
          <w:b/>
          <w:bCs/>
          <w:sz w:val="16"/>
          <w:szCs w:val="16"/>
        </w:rPr>
        <w:t>:</w:t>
      </w:r>
      <w:r w:rsidRPr="00512403" w:rsidR="00DC3655">
        <w:rPr>
          <w:rFonts w:cs="Arial"/>
          <w:b/>
          <w:bCs/>
          <w:sz w:val="16"/>
          <w:szCs w:val="16"/>
        </w:rPr>
        <w:t xml:space="preserve"> calificación de riesgo crediticio, estándares de gobierno corporativo, área geográfica, sector económico</w:t>
      </w:r>
      <w:r w:rsidRPr="00512403" w:rsidR="007179CC">
        <w:rPr>
          <w:rFonts w:cs="Arial"/>
          <w:b/>
          <w:bCs/>
          <w:sz w:val="16"/>
          <w:szCs w:val="16"/>
        </w:rPr>
        <w:t>, variables o calificaciones ASG o climáticas</w:t>
      </w:r>
      <w:r w:rsidRPr="00512403" w:rsidR="00DC3655">
        <w:rPr>
          <w:rFonts w:cs="Arial"/>
          <w:b/>
          <w:bCs/>
          <w:sz w:val="16"/>
          <w:szCs w:val="16"/>
        </w:rPr>
        <w:t xml:space="preserve"> y condiciones de los activos subyacentes.</w:t>
      </w:r>
    </w:p>
    <w:p w:rsidR="00DC3655" w:rsidRPr="00512403" w:rsidP="00331B68" w14:paraId="0B640F59" w14:textId="18AD84D4">
      <w:pPr>
        <w:pBdr>
          <w:left w:val="single" w:sz="4" w:space="4" w:color="auto"/>
        </w:pBdr>
        <w:autoSpaceDE w:val="0"/>
        <w:autoSpaceDN w:val="0"/>
        <w:adjustRightInd w:val="0"/>
        <w:rPr>
          <w:rFonts w:cs="Arial"/>
          <w:b/>
          <w:bCs/>
          <w:sz w:val="16"/>
          <w:szCs w:val="16"/>
        </w:rPr>
      </w:pPr>
    </w:p>
    <w:p w:rsidR="0059227A" w:rsidRPr="00512403" w:rsidP="0059227A" w14:paraId="5EC111A8" w14:textId="2987EEDF">
      <w:pPr>
        <w:pBdr>
          <w:left w:val="single" w:sz="4" w:space="4" w:color="auto"/>
        </w:pBdr>
        <w:autoSpaceDE w:val="0"/>
        <w:autoSpaceDN w:val="0"/>
        <w:adjustRightInd w:val="0"/>
        <w:rPr>
          <w:rFonts w:cs="Arial"/>
          <w:b/>
          <w:bCs/>
          <w:sz w:val="16"/>
          <w:szCs w:val="16"/>
        </w:rPr>
      </w:pPr>
      <w:r w:rsidRPr="00512403">
        <w:rPr>
          <w:rFonts w:cs="Arial"/>
          <w:b/>
          <w:bCs/>
          <w:sz w:val="16"/>
          <w:szCs w:val="16"/>
        </w:rPr>
        <w:t>2.1.1.</w:t>
      </w:r>
      <w:r w:rsidRPr="00512403" w:rsidR="00366601">
        <w:rPr>
          <w:rFonts w:cs="Arial"/>
          <w:b/>
          <w:bCs/>
          <w:sz w:val="16"/>
          <w:szCs w:val="16"/>
        </w:rPr>
        <w:t>14.</w:t>
      </w:r>
      <w:r w:rsidRPr="00512403" w:rsidR="004E17EA">
        <w:rPr>
          <w:rFonts w:cs="Arial"/>
          <w:b/>
          <w:bCs/>
          <w:sz w:val="16"/>
          <w:szCs w:val="16"/>
        </w:rPr>
        <w:t>6</w:t>
      </w:r>
      <w:r w:rsidRPr="00512403" w:rsidR="00BA0FA9">
        <w:rPr>
          <w:rFonts w:cs="Arial"/>
          <w:b/>
          <w:bCs/>
          <w:sz w:val="16"/>
          <w:szCs w:val="16"/>
        </w:rPr>
        <w:t xml:space="preserve">.4. </w:t>
      </w:r>
      <w:r w:rsidRPr="00512403" w:rsidR="00100308">
        <w:rPr>
          <w:rFonts w:cs="Arial"/>
          <w:b/>
          <w:bCs/>
          <w:sz w:val="16"/>
          <w:szCs w:val="16"/>
        </w:rPr>
        <w:t>Las p</w:t>
      </w:r>
      <w:r w:rsidRPr="00512403" w:rsidR="00A4337D">
        <w:rPr>
          <w:rFonts w:cs="Arial"/>
          <w:b/>
          <w:bCs/>
          <w:sz w:val="16"/>
          <w:szCs w:val="16"/>
        </w:rPr>
        <w:t xml:space="preserve">olíticas </w:t>
      </w:r>
      <w:r w:rsidRPr="00512403" w:rsidR="003A107E">
        <w:rPr>
          <w:rFonts w:cs="Arial"/>
          <w:b/>
          <w:bCs/>
          <w:sz w:val="16"/>
          <w:szCs w:val="16"/>
        </w:rPr>
        <w:t xml:space="preserve">generales </w:t>
      </w:r>
      <w:r w:rsidRPr="00512403" w:rsidR="00A4337D">
        <w:rPr>
          <w:rFonts w:cs="Arial"/>
          <w:b/>
          <w:bCs/>
          <w:sz w:val="16"/>
          <w:szCs w:val="16"/>
        </w:rPr>
        <w:t>para definir las c</w:t>
      </w:r>
      <w:r w:rsidRPr="00512403" w:rsidR="00BA0FA9">
        <w:rPr>
          <w:rFonts w:cs="Arial"/>
          <w:b/>
          <w:bCs/>
          <w:sz w:val="16"/>
          <w:szCs w:val="16"/>
        </w:rPr>
        <w:t xml:space="preserve">ondiciones que deben cumplir los </w:t>
      </w:r>
      <w:r w:rsidRPr="00512403" w:rsidR="000A6DA2">
        <w:rPr>
          <w:rFonts w:cs="Arial"/>
          <w:b/>
          <w:bCs/>
          <w:sz w:val="16"/>
          <w:szCs w:val="16"/>
        </w:rPr>
        <w:t>vehículos</w:t>
      </w:r>
      <w:r w:rsidRPr="00512403" w:rsidR="00254BA7">
        <w:rPr>
          <w:rFonts w:cs="Arial"/>
          <w:b/>
          <w:bCs/>
          <w:sz w:val="16"/>
          <w:szCs w:val="16"/>
        </w:rPr>
        <w:t xml:space="preserve"> </w:t>
      </w:r>
      <w:r w:rsidRPr="00512403" w:rsidR="009B34AE">
        <w:rPr>
          <w:rFonts w:cs="Arial"/>
          <w:b/>
          <w:bCs/>
          <w:sz w:val="16"/>
          <w:szCs w:val="16"/>
        </w:rPr>
        <w:t>o emisores, tales como: idoneidad de los</w:t>
      </w:r>
      <w:r w:rsidRPr="00512403" w:rsidR="006C208C">
        <w:rPr>
          <w:rFonts w:cs="Arial"/>
          <w:b/>
          <w:bCs/>
          <w:sz w:val="16"/>
          <w:szCs w:val="16"/>
        </w:rPr>
        <w:t xml:space="preserve"> </w:t>
      </w:r>
      <w:r w:rsidRPr="00512403" w:rsidR="0056115F">
        <w:rPr>
          <w:rFonts w:cs="Arial"/>
          <w:b/>
          <w:bCs/>
          <w:sz w:val="16"/>
          <w:szCs w:val="16"/>
        </w:rPr>
        <w:t>gestores</w:t>
      </w:r>
      <w:r w:rsidRPr="00512403" w:rsidR="009B34AE">
        <w:rPr>
          <w:rFonts w:cs="Arial"/>
          <w:b/>
          <w:bCs/>
          <w:sz w:val="16"/>
          <w:szCs w:val="16"/>
        </w:rPr>
        <w:t xml:space="preserve"> y de las</w:t>
      </w:r>
      <w:r w:rsidRPr="00512403" w:rsidR="0056115F">
        <w:rPr>
          <w:rFonts w:cs="Arial"/>
          <w:b/>
          <w:bCs/>
          <w:sz w:val="16"/>
          <w:szCs w:val="16"/>
        </w:rPr>
        <w:t xml:space="preserve"> </w:t>
      </w:r>
      <w:r w:rsidRPr="00512403" w:rsidR="00B57B36">
        <w:rPr>
          <w:rFonts w:cs="Arial"/>
          <w:b/>
          <w:bCs/>
          <w:sz w:val="16"/>
          <w:szCs w:val="16"/>
        </w:rPr>
        <w:t>sociedades administradoras</w:t>
      </w:r>
      <w:r w:rsidRPr="00512403" w:rsidR="0056115F">
        <w:rPr>
          <w:rFonts w:cs="Arial"/>
          <w:b/>
          <w:bCs/>
          <w:sz w:val="16"/>
          <w:szCs w:val="16"/>
        </w:rPr>
        <w:t>,</w:t>
      </w:r>
      <w:r w:rsidRPr="00512403" w:rsidR="009B34AE">
        <w:rPr>
          <w:rFonts w:cs="Arial"/>
          <w:b/>
          <w:bCs/>
          <w:sz w:val="16"/>
          <w:szCs w:val="16"/>
        </w:rPr>
        <w:t xml:space="preserve"> las</w:t>
      </w:r>
      <w:r w:rsidRPr="00512403" w:rsidR="0056115F">
        <w:rPr>
          <w:rFonts w:cs="Arial"/>
          <w:b/>
          <w:bCs/>
          <w:sz w:val="16"/>
          <w:szCs w:val="16"/>
        </w:rPr>
        <w:t xml:space="preserve"> </w:t>
      </w:r>
      <w:r w:rsidRPr="00512403" w:rsidR="004F6319">
        <w:rPr>
          <w:rFonts w:cs="Arial"/>
          <w:b/>
          <w:bCs/>
          <w:sz w:val="16"/>
          <w:szCs w:val="16"/>
        </w:rPr>
        <w:t xml:space="preserve">políticas contables y de valoración, </w:t>
      </w:r>
      <w:r w:rsidRPr="00512403" w:rsidR="00D103AA">
        <w:rPr>
          <w:rFonts w:cs="Arial"/>
          <w:b/>
          <w:bCs/>
          <w:sz w:val="16"/>
          <w:szCs w:val="16"/>
        </w:rPr>
        <w:t xml:space="preserve">estándares de revelación de información, </w:t>
      </w:r>
      <w:r w:rsidRPr="00512403" w:rsidR="00EF36BF">
        <w:rPr>
          <w:rFonts w:cs="Arial"/>
          <w:b/>
          <w:bCs/>
          <w:sz w:val="16"/>
          <w:szCs w:val="16"/>
        </w:rPr>
        <w:t xml:space="preserve">y </w:t>
      </w:r>
      <w:r w:rsidRPr="00512403" w:rsidR="00B57B36">
        <w:rPr>
          <w:rFonts w:cs="Arial"/>
          <w:b/>
          <w:bCs/>
          <w:sz w:val="16"/>
          <w:szCs w:val="16"/>
        </w:rPr>
        <w:t>estructura de comisiones</w:t>
      </w:r>
      <w:r w:rsidRPr="00512403" w:rsidR="00D2788A">
        <w:rPr>
          <w:rFonts w:cs="Arial"/>
          <w:b/>
          <w:bCs/>
          <w:sz w:val="16"/>
          <w:szCs w:val="16"/>
        </w:rPr>
        <w:t>.</w:t>
      </w:r>
    </w:p>
    <w:p w:rsidR="0059227A" w:rsidRPr="00512403" w:rsidP="0059227A" w14:paraId="3E054127" w14:textId="77777777">
      <w:pPr>
        <w:pBdr>
          <w:left w:val="single" w:sz="4" w:space="4" w:color="auto"/>
        </w:pBdr>
        <w:autoSpaceDE w:val="0"/>
        <w:autoSpaceDN w:val="0"/>
        <w:adjustRightInd w:val="0"/>
        <w:rPr>
          <w:rFonts w:cs="Arial"/>
          <w:b/>
          <w:bCs/>
          <w:sz w:val="16"/>
          <w:szCs w:val="16"/>
        </w:rPr>
      </w:pPr>
    </w:p>
    <w:p w:rsidR="007D3D99" w:rsidRPr="00512403" w:rsidP="0059227A" w14:paraId="04C8AFB8" w14:textId="5B8BA984">
      <w:pPr>
        <w:pBdr>
          <w:left w:val="single" w:sz="4" w:space="4" w:color="auto"/>
        </w:pBdr>
        <w:autoSpaceDE w:val="0"/>
        <w:autoSpaceDN w:val="0"/>
        <w:adjustRightInd w:val="0"/>
        <w:rPr>
          <w:b/>
          <w:sz w:val="16"/>
          <w:szCs w:val="16"/>
        </w:rPr>
      </w:pPr>
      <w:r w:rsidRPr="00512403">
        <w:rPr>
          <w:b/>
          <w:sz w:val="16"/>
          <w:szCs w:val="16"/>
        </w:rPr>
        <w:t>2.1.1.14.</w:t>
      </w:r>
      <w:r w:rsidRPr="00512403" w:rsidR="004E17EA">
        <w:rPr>
          <w:b/>
          <w:sz w:val="16"/>
          <w:szCs w:val="16"/>
        </w:rPr>
        <w:t>7</w:t>
      </w:r>
      <w:r w:rsidRPr="00512403">
        <w:rPr>
          <w:b/>
          <w:sz w:val="16"/>
          <w:szCs w:val="16"/>
        </w:rPr>
        <w:t>. Las políticas</w:t>
      </w:r>
      <w:r w:rsidRPr="00512403" w:rsidR="00FF0DB8">
        <w:rPr>
          <w:b/>
          <w:sz w:val="16"/>
          <w:szCs w:val="16"/>
        </w:rPr>
        <w:t xml:space="preserve">, </w:t>
      </w:r>
      <w:r w:rsidRPr="00512403" w:rsidR="005F2247">
        <w:rPr>
          <w:b/>
          <w:sz w:val="16"/>
          <w:szCs w:val="16"/>
        </w:rPr>
        <w:t xml:space="preserve">procedimientos y </w:t>
      </w:r>
      <w:r w:rsidRPr="00512403" w:rsidR="00340007">
        <w:rPr>
          <w:b/>
          <w:sz w:val="16"/>
          <w:szCs w:val="16"/>
        </w:rPr>
        <w:t>áreas responsables de</w:t>
      </w:r>
      <w:r w:rsidRPr="00512403">
        <w:rPr>
          <w:b/>
          <w:sz w:val="16"/>
          <w:szCs w:val="16"/>
        </w:rPr>
        <w:t xml:space="preserve"> la realización de la debida diligencia de las condiciones de la inversión en activos alternativos, incluyendo</w:t>
      </w:r>
      <w:r w:rsidRPr="00512403" w:rsidR="00FC06A2">
        <w:rPr>
          <w:b/>
          <w:sz w:val="16"/>
          <w:szCs w:val="16"/>
        </w:rPr>
        <w:t>,</w:t>
      </w:r>
      <w:r w:rsidRPr="00512403">
        <w:rPr>
          <w:b/>
          <w:sz w:val="16"/>
          <w:szCs w:val="16"/>
        </w:rPr>
        <w:t xml:space="preserve"> </w:t>
      </w:r>
      <w:r w:rsidRPr="00512403" w:rsidR="00FC06A2">
        <w:rPr>
          <w:b/>
          <w:sz w:val="16"/>
          <w:szCs w:val="16"/>
        </w:rPr>
        <w:t xml:space="preserve">por lo menos, </w:t>
      </w:r>
      <w:r w:rsidRPr="00512403">
        <w:rPr>
          <w:b/>
          <w:sz w:val="16"/>
          <w:szCs w:val="16"/>
        </w:rPr>
        <w:t>las siguientes:</w:t>
      </w:r>
    </w:p>
    <w:p w:rsidR="007D3D99" w:rsidRPr="00512403" w:rsidP="00331B68" w14:paraId="6F672A82" w14:textId="77777777">
      <w:pPr>
        <w:pStyle w:val="ListParagraph1"/>
        <w:pBdr>
          <w:left w:val="single" w:sz="4" w:space="4" w:color="auto"/>
        </w:pBdr>
        <w:ind w:left="0"/>
        <w:rPr>
          <w:bCs/>
          <w:sz w:val="16"/>
          <w:szCs w:val="16"/>
        </w:rPr>
      </w:pPr>
    </w:p>
    <w:p w:rsidR="008542EF" w:rsidRPr="00512403" w:rsidP="00331B68" w14:paraId="33477B94" w14:textId="3BC82BDB">
      <w:pPr>
        <w:pStyle w:val="ListParagraph1"/>
        <w:pBdr>
          <w:left w:val="single" w:sz="4" w:space="4" w:color="auto"/>
        </w:pBdr>
        <w:ind w:left="0"/>
        <w:rPr>
          <w:bCs/>
          <w:sz w:val="16"/>
          <w:szCs w:val="16"/>
        </w:rPr>
      </w:pPr>
      <w:r w:rsidRPr="00512403">
        <w:rPr>
          <w:bCs/>
          <w:sz w:val="16"/>
          <w:szCs w:val="16"/>
        </w:rPr>
        <w:t>2.1.1.14</w:t>
      </w:r>
      <w:r w:rsidRPr="00512403" w:rsidR="004E17EA">
        <w:rPr>
          <w:bCs/>
          <w:sz w:val="16"/>
          <w:szCs w:val="16"/>
        </w:rPr>
        <w:t>.7</w:t>
      </w:r>
      <w:r w:rsidRPr="00512403">
        <w:rPr>
          <w:bCs/>
          <w:sz w:val="16"/>
          <w:szCs w:val="16"/>
        </w:rPr>
        <w:t xml:space="preserve">.1. </w:t>
      </w:r>
      <w:r w:rsidRPr="00512403" w:rsidR="001424B3">
        <w:rPr>
          <w:bCs/>
          <w:sz w:val="16"/>
          <w:szCs w:val="16"/>
        </w:rPr>
        <w:t>Análisis de</w:t>
      </w:r>
      <w:r w:rsidRPr="00512403" w:rsidR="008B63D7">
        <w:rPr>
          <w:bCs/>
          <w:sz w:val="16"/>
          <w:szCs w:val="16"/>
        </w:rPr>
        <w:t xml:space="preserve">l ajuste de los </w:t>
      </w:r>
      <w:r w:rsidRPr="00512403" w:rsidR="00665DC2">
        <w:rPr>
          <w:bCs/>
          <w:sz w:val="16"/>
          <w:szCs w:val="16"/>
        </w:rPr>
        <w:t>reglamentos</w:t>
      </w:r>
      <w:r w:rsidRPr="00512403" w:rsidR="00DB2EEF">
        <w:rPr>
          <w:bCs/>
          <w:sz w:val="16"/>
          <w:szCs w:val="16"/>
        </w:rPr>
        <w:t xml:space="preserve"> </w:t>
      </w:r>
      <w:r w:rsidRPr="00512403" w:rsidR="00665DC2">
        <w:rPr>
          <w:bCs/>
          <w:sz w:val="16"/>
          <w:szCs w:val="16"/>
        </w:rPr>
        <w:t xml:space="preserve">y/o </w:t>
      </w:r>
      <w:r w:rsidRPr="00512403" w:rsidR="00DB2EEF">
        <w:rPr>
          <w:bCs/>
          <w:sz w:val="16"/>
          <w:szCs w:val="16"/>
        </w:rPr>
        <w:t xml:space="preserve">políticas </w:t>
      </w:r>
      <w:r w:rsidRPr="00512403" w:rsidR="00665DC2">
        <w:rPr>
          <w:bCs/>
          <w:sz w:val="16"/>
          <w:szCs w:val="16"/>
        </w:rPr>
        <w:t>o mandatos de inversión</w:t>
      </w:r>
      <w:r w:rsidR="002C1425">
        <w:rPr>
          <w:bCs/>
          <w:sz w:val="16"/>
          <w:szCs w:val="16"/>
        </w:rPr>
        <w:t>,</w:t>
      </w:r>
      <w:r w:rsidRPr="00512403" w:rsidR="00825031">
        <w:rPr>
          <w:bCs/>
          <w:sz w:val="16"/>
          <w:szCs w:val="16"/>
        </w:rPr>
        <w:t xml:space="preserve"> al cumplimiento de las condiciones tanto legales como internas para la inversión en activos alternativos. </w:t>
      </w:r>
    </w:p>
    <w:p w:rsidR="008542EF" w:rsidRPr="00512403" w:rsidP="00331B68" w14:paraId="7535883D" w14:textId="77777777">
      <w:pPr>
        <w:pStyle w:val="ListParagraph1"/>
        <w:pBdr>
          <w:left w:val="single" w:sz="4" w:space="4" w:color="auto"/>
        </w:pBdr>
        <w:ind w:left="0"/>
        <w:rPr>
          <w:bCs/>
          <w:sz w:val="16"/>
          <w:szCs w:val="16"/>
        </w:rPr>
      </w:pPr>
    </w:p>
    <w:p w:rsidR="005D139D" w:rsidRPr="00512403" w:rsidP="00331B68" w14:paraId="47C98C27" w14:textId="641E7156">
      <w:pPr>
        <w:pStyle w:val="ListParagraph1"/>
        <w:pBdr>
          <w:left w:val="single" w:sz="4" w:space="4" w:color="auto"/>
        </w:pBdr>
        <w:ind w:left="0"/>
        <w:rPr>
          <w:bCs/>
          <w:sz w:val="16"/>
          <w:szCs w:val="16"/>
        </w:rPr>
      </w:pPr>
      <w:r w:rsidRPr="00512403">
        <w:rPr>
          <w:bCs/>
          <w:sz w:val="16"/>
          <w:szCs w:val="16"/>
        </w:rPr>
        <w:t>2.1.1.14.</w:t>
      </w:r>
      <w:r w:rsidRPr="00512403" w:rsidR="004E17EA">
        <w:rPr>
          <w:bCs/>
          <w:sz w:val="16"/>
          <w:szCs w:val="16"/>
        </w:rPr>
        <w:t>7</w:t>
      </w:r>
      <w:r w:rsidRPr="00512403">
        <w:rPr>
          <w:bCs/>
          <w:sz w:val="16"/>
          <w:szCs w:val="16"/>
        </w:rPr>
        <w:t xml:space="preserve">.2. </w:t>
      </w:r>
      <w:r w:rsidRPr="00512403" w:rsidR="001424B3">
        <w:rPr>
          <w:bCs/>
          <w:sz w:val="16"/>
          <w:szCs w:val="16"/>
        </w:rPr>
        <w:t>Análisis de l</w:t>
      </w:r>
      <w:r w:rsidRPr="00512403">
        <w:rPr>
          <w:bCs/>
          <w:sz w:val="16"/>
          <w:szCs w:val="16"/>
        </w:rPr>
        <w:t>a idoneidad y</w:t>
      </w:r>
      <w:r w:rsidRPr="00512403" w:rsidR="00E5718B">
        <w:rPr>
          <w:bCs/>
          <w:sz w:val="16"/>
          <w:szCs w:val="16"/>
        </w:rPr>
        <w:t xml:space="preserve"> experiencia</w:t>
      </w:r>
      <w:r w:rsidRPr="00512403">
        <w:rPr>
          <w:bCs/>
          <w:sz w:val="16"/>
          <w:szCs w:val="16"/>
        </w:rPr>
        <w:t xml:space="preserve"> de</w:t>
      </w:r>
      <w:r w:rsidRPr="00512403" w:rsidR="008A63C5">
        <w:rPr>
          <w:bCs/>
          <w:sz w:val="16"/>
          <w:szCs w:val="16"/>
        </w:rPr>
        <w:t xml:space="preserve">l gestor profesional, </w:t>
      </w:r>
      <w:r w:rsidRPr="00512403">
        <w:rPr>
          <w:bCs/>
          <w:sz w:val="16"/>
          <w:szCs w:val="16"/>
        </w:rPr>
        <w:t xml:space="preserve">que incluya </w:t>
      </w:r>
      <w:r w:rsidRPr="00512403" w:rsidR="003E0155">
        <w:rPr>
          <w:bCs/>
          <w:sz w:val="16"/>
          <w:szCs w:val="16"/>
        </w:rPr>
        <w:t>el análisis de su estructura de gobierno corporativo</w:t>
      </w:r>
      <w:r w:rsidRPr="00512403" w:rsidR="00E5718B">
        <w:rPr>
          <w:bCs/>
          <w:sz w:val="16"/>
          <w:szCs w:val="16"/>
        </w:rPr>
        <w:t>, políticas de conflicto</w:t>
      </w:r>
      <w:r w:rsidRPr="00512403" w:rsidR="008E7D67">
        <w:rPr>
          <w:bCs/>
          <w:sz w:val="16"/>
          <w:szCs w:val="16"/>
        </w:rPr>
        <w:t>s</w:t>
      </w:r>
      <w:r w:rsidRPr="00512403" w:rsidR="00E5718B">
        <w:rPr>
          <w:bCs/>
          <w:sz w:val="16"/>
          <w:szCs w:val="16"/>
        </w:rPr>
        <w:t xml:space="preserve"> de interés y </w:t>
      </w:r>
      <w:r w:rsidRPr="00512403" w:rsidR="00756E71">
        <w:rPr>
          <w:bCs/>
          <w:sz w:val="16"/>
          <w:szCs w:val="16"/>
        </w:rPr>
        <w:t>los riesgos de sustitución de personal clave</w:t>
      </w:r>
      <w:r w:rsidRPr="00512403" w:rsidR="00E5718B">
        <w:rPr>
          <w:bCs/>
          <w:sz w:val="16"/>
          <w:szCs w:val="16"/>
        </w:rPr>
        <w:t>.</w:t>
      </w:r>
    </w:p>
    <w:p w:rsidR="00E5718B" w:rsidRPr="00512403" w:rsidP="00331B68" w14:paraId="565A2E65" w14:textId="5CB2B9A6">
      <w:pPr>
        <w:pStyle w:val="ListParagraph1"/>
        <w:pBdr>
          <w:left w:val="single" w:sz="4" w:space="4" w:color="auto"/>
        </w:pBdr>
        <w:ind w:left="0"/>
        <w:rPr>
          <w:bCs/>
          <w:sz w:val="16"/>
          <w:szCs w:val="16"/>
        </w:rPr>
      </w:pPr>
    </w:p>
    <w:p w:rsidR="00E5718B" w:rsidRPr="00512403" w:rsidP="00331B68" w14:paraId="7D2F12DE" w14:textId="0313149A">
      <w:pPr>
        <w:pStyle w:val="ListParagraph1"/>
        <w:pBdr>
          <w:left w:val="single" w:sz="4" w:space="4" w:color="auto"/>
        </w:pBdr>
        <w:ind w:left="0"/>
        <w:rPr>
          <w:bCs/>
          <w:sz w:val="16"/>
          <w:szCs w:val="16"/>
        </w:rPr>
      </w:pPr>
      <w:r w:rsidRPr="00512403">
        <w:rPr>
          <w:bCs/>
          <w:sz w:val="16"/>
          <w:szCs w:val="16"/>
        </w:rPr>
        <w:t>2.1.1.14.</w:t>
      </w:r>
      <w:r w:rsidRPr="00512403" w:rsidR="004E17EA">
        <w:rPr>
          <w:bCs/>
          <w:sz w:val="16"/>
          <w:szCs w:val="16"/>
        </w:rPr>
        <w:t>7</w:t>
      </w:r>
      <w:r w:rsidRPr="00512403" w:rsidR="00064AC2">
        <w:rPr>
          <w:bCs/>
          <w:sz w:val="16"/>
          <w:szCs w:val="16"/>
        </w:rPr>
        <w:t>.</w:t>
      </w:r>
      <w:r w:rsidRPr="00512403" w:rsidR="00825031">
        <w:rPr>
          <w:bCs/>
          <w:sz w:val="16"/>
          <w:szCs w:val="16"/>
        </w:rPr>
        <w:t>3</w:t>
      </w:r>
      <w:r w:rsidRPr="00512403">
        <w:rPr>
          <w:bCs/>
          <w:sz w:val="16"/>
          <w:szCs w:val="16"/>
        </w:rPr>
        <w:t xml:space="preserve">. </w:t>
      </w:r>
      <w:r w:rsidRPr="00512403" w:rsidR="001424B3">
        <w:rPr>
          <w:bCs/>
          <w:sz w:val="16"/>
          <w:szCs w:val="16"/>
        </w:rPr>
        <w:t>Análisis de l</w:t>
      </w:r>
      <w:r w:rsidRPr="00512403">
        <w:rPr>
          <w:bCs/>
          <w:sz w:val="16"/>
          <w:szCs w:val="16"/>
        </w:rPr>
        <w:t xml:space="preserve">a idoneidad y experiencia de la sociedad administradora, que incluya </w:t>
      </w:r>
      <w:r w:rsidRPr="00512403" w:rsidR="003E758D">
        <w:rPr>
          <w:bCs/>
          <w:sz w:val="16"/>
          <w:szCs w:val="16"/>
        </w:rPr>
        <w:t>el análisis de su estructura de gobierno corporativo</w:t>
      </w:r>
      <w:r w:rsidRPr="00512403" w:rsidR="00FF5982">
        <w:rPr>
          <w:bCs/>
          <w:sz w:val="16"/>
          <w:szCs w:val="16"/>
        </w:rPr>
        <w:t xml:space="preserve"> </w:t>
      </w:r>
      <w:r w:rsidRPr="00512403" w:rsidR="00885477">
        <w:rPr>
          <w:bCs/>
          <w:sz w:val="16"/>
          <w:szCs w:val="16"/>
        </w:rPr>
        <w:t xml:space="preserve">y </w:t>
      </w:r>
      <w:r w:rsidR="009B5AB3">
        <w:rPr>
          <w:bCs/>
          <w:sz w:val="16"/>
          <w:szCs w:val="16"/>
        </w:rPr>
        <w:t xml:space="preserve">las </w:t>
      </w:r>
      <w:r w:rsidRPr="00512403" w:rsidR="008E7D67">
        <w:rPr>
          <w:bCs/>
          <w:sz w:val="16"/>
          <w:szCs w:val="16"/>
        </w:rPr>
        <w:t>políticas de conflictos de interés.</w:t>
      </w:r>
    </w:p>
    <w:p w:rsidR="008E7D67" w:rsidRPr="00512403" w:rsidP="00331B68" w14:paraId="47FC2836" w14:textId="2F9F72F0">
      <w:pPr>
        <w:pStyle w:val="ListParagraph1"/>
        <w:pBdr>
          <w:left w:val="single" w:sz="4" w:space="4" w:color="auto"/>
        </w:pBdr>
        <w:ind w:left="0"/>
        <w:rPr>
          <w:bCs/>
          <w:sz w:val="16"/>
          <w:szCs w:val="16"/>
        </w:rPr>
      </w:pPr>
    </w:p>
    <w:p w:rsidR="008A63C5" w:rsidRPr="00512403" w:rsidP="00331B68" w14:paraId="1BA18A35" w14:textId="37B13A32">
      <w:pPr>
        <w:pStyle w:val="ListParagraph1"/>
        <w:pBdr>
          <w:left w:val="single" w:sz="4" w:space="4" w:color="auto"/>
        </w:pBdr>
        <w:ind w:left="0"/>
        <w:rPr>
          <w:bCs/>
          <w:sz w:val="16"/>
          <w:szCs w:val="16"/>
        </w:rPr>
      </w:pPr>
      <w:r w:rsidRPr="00512403">
        <w:rPr>
          <w:bCs/>
          <w:sz w:val="16"/>
          <w:szCs w:val="16"/>
        </w:rPr>
        <w:t>2.1.1.14.</w:t>
      </w:r>
      <w:r w:rsidRPr="00512403" w:rsidR="004E17EA">
        <w:rPr>
          <w:bCs/>
          <w:sz w:val="16"/>
          <w:szCs w:val="16"/>
        </w:rPr>
        <w:t>7</w:t>
      </w:r>
      <w:r w:rsidRPr="00512403" w:rsidR="002270EB">
        <w:rPr>
          <w:bCs/>
          <w:sz w:val="16"/>
          <w:szCs w:val="16"/>
        </w:rPr>
        <w:t>.</w:t>
      </w:r>
      <w:r w:rsidRPr="00512403" w:rsidR="00825031">
        <w:rPr>
          <w:bCs/>
          <w:sz w:val="16"/>
          <w:szCs w:val="16"/>
        </w:rPr>
        <w:t>4</w:t>
      </w:r>
      <w:r w:rsidRPr="00512403" w:rsidR="002270EB">
        <w:rPr>
          <w:bCs/>
          <w:sz w:val="16"/>
          <w:szCs w:val="16"/>
        </w:rPr>
        <w:t xml:space="preserve">. </w:t>
      </w:r>
      <w:r w:rsidRPr="00512403" w:rsidR="001424B3">
        <w:rPr>
          <w:bCs/>
          <w:sz w:val="16"/>
          <w:szCs w:val="16"/>
        </w:rPr>
        <w:t>Análisis de l</w:t>
      </w:r>
      <w:r w:rsidRPr="00512403" w:rsidR="002270EB">
        <w:rPr>
          <w:bCs/>
          <w:sz w:val="16"/>
          <w:szCs w:val="16"/>
        </w:rPr>
        <w:t>a</w:t>
      </w:r>
      <w:r w:rsidRPr="00512403" w:rsidR="00632C20">
        <w:rPr>
          <w:bCs/>
          <w:sz w:val="16"/>
          <w:szCs w:val="16"/>
        </w:rPr>
        <w:t xml:space="preserve"> </w:t>
      </w:r>
      <w:r w:rsidRPr="00512403" w:rsidR="006B0DA0">
        <w:rPr>
          <w:bCs/>
          <w:sz w:val="16"/>
          <w:szCs w:val="16"/>
        </w:rPr>
        <w:t xml:space="preserve">idoneidad técnica de las </w:t>
      </w:r>
      <w:r w:rsidRPr="00512403" w:rsidR="00632C20">
        <w:rPr>
          <w:bCs/>
          <w:sz w:val="16"/>
          <w:szCs w:val="16"/>
        </w:rPr>
        <w:t>políticas contables y de valoración de los vehículos</w:t>
      </w:r>
      <w:r w:rsidR="0077001E">
        <w:rPr>
          <w:bCs/>
          <w:sz w:val="16"/>
          <w:szCs w:val="16"/>
        </w:rPr>
        <w:t>,</w:t>
      </w:r>
      <w:r w:rsidRPr="00512403" w:rsidR="00632C20">
        <w:rPr>
          <w:bCs/>
          <w:sz w:val="16"/>
          <w:szCs w:val="16"/>
        </w:rPr>
        <w:t xml:space="preserve"> </w:t>
      </w:r>
      <w:r w:rsidRPr="00512403" w:rsidR="008F2E0F">
        <w:rPr>
          <w:bCs/>
          <w:sz w:val="16"/>
          <w:szCs w:val="16"/>
        </w:rPr>
        <w:t xml:space="preserve">y su ajuste </w:t>
      </w:r>
      <w:r w:rsidRPr="00512403" w:rsidR="001930E0">
        <w:rPr>
          <w:bCs/>
          <w:sz w:val="16"/>
          <w:szCs w:val="16"/>
        </w:rPr>
        <w:t xml:space="preserve">a la naturaleza </w:t>
      </w:r>
      <w:r w:rsidRPr="00512403" w:rsidR="008F2E0F">
        <w:rPr>
          <w:bCs/>
          <w:sz w:val="16"/>
          <w:szCs w:val="16"/>
        </w:rPr>
        <w:t xml:space="preserve">y realidad económica </w:t>
      </w:r>
      <w:r w:rsidRPr="00512403" w:rsidR="001930E0">
        <w:rPr>
          <w:bCs/>
          <w:sz w:val="16"/>
          <w:szCs w:val="16"/>
        </w:rPr>
        <w:t>del activo.</w:t>
      </w:r>
    </w:p>
    <w:p w:rsidR="00F30D16" w:rsidRPr="00512403" w:rsidP="00331B68" w14:paraId="3AEC550C" w14:textId="178776F1">
      <w:pPr>
        <w:pStyle w:val="ListParagraph1"/>
        <w:pBdr>
          <w:left w:val="single" w:sz="4" w:space="4" w:color="auto"/>
        </w:pBdr>
        <w:ind w:left="0"/>
        <w:rPr>
          <w:bCs/>
          <w:sz w:val="16"/>
          <w:szCs w:val="16"/>
        </w:rPr>
      </w:pPr>
    </w:p>
    <w:p w:rsidR="00F30D16" w:rsidRPr="00512403" w:rsidP="00331B68" w14:paraId="42EABD43" w14:textId="6635F4A3">
      <w:pPr>
        <w:pStyle w:val="ListParagraph1"/>
        <w:pBdr>
          <w:left w:val="single" w:sz="4" w:space="4" w:color="auto"/>
        </w:pBdr>
        <w:ind w:left="0"/>
        <w:rPr>
          <w:bCs/>
          <w:sz w:val="16"/>
          <w:szCs w:val="16"/>
        </w:rPr>
      </w:pPr>
      <w:r w:rsidRPr="00512403">
        <w:rPr>
          <w:bCs/>
          <w:sz w:val="16"/>
          <w:szCs w:val="16"/>
        </w:rPr>
        <w:t>2.1.1.14.</w:t>
      </w:r>
      <w:r w:rsidRPr="00512403" w:rsidR="004E17EA">
        <w:rPr>
          <w:bCs/>
          <w:sz w:val="16"/>
          <w:szCs w:val="16"/>
        </w:rPr>
        <w:t>7</w:t>
      </w:r>
      <w:r w:rsidRPr="00512403">
        <w:rPr>
          <w:bCs/>
          <w:sz w:val="16"/>
          <w:szCs w:val="16"/>
        </w:rPr>
        <w:t>.</w:t>
      </w:r>
      <w:r w:rsidRPr="00512403" w:rsidR="00825031">
        <w:rPr>
          <w:bCs/>
          <w:sz w:val="16"/>
          <w:szCs w:val="16"/>
        </w:rPr>
        <w:t>5</w:t>
      </w:r>
      <w:r w:rsidRPr="00512403">
        <w:rPr>
          <w:bCs/>
          <w:sz w:val="16"/>
          <w:szCs w:val="16"/>
        </w:rPr>
        <w:t xml:space="preserve">. </w:t>
      </w:r>
      <w:r w:rsidRPr="00512403" w:rsidR="001424B3">
        <w:rPr>
          <w:bCs/>
          <w:sz w:val="16"/>
          <w:szCs w:val="16"/>
        </w:rPr>
        <w:t>Análisis de l</w:t>
      </w:r>
      <w:r w:rsidRPr="00512403">
        <w:rPr>
          <w:bCs/>
          <w:sz w:val="16"/>
          <w:szCs w:val="16"/>
        </w:rPr>
        <w:t xml:space="preserve">a estructura de comisiones y políticas de remuneración </w:t>
      </w:r>
      <w:r w:rsidRPr="00512403" w:rsidR="00244DA4">
        <w:rPr>
          <w:bCs/>
          <w:sz w:val="16"/>
          <w:szCs w:val="16"/>
        </w:rPr>
        <w:t xml:space="preserve">del vehículo. </w:t>
      </w:r>
    </w:p>
    <w:p w:rsidR="00244DA4" w:rsidRPr="00512403" w:rsidP="00331B68" w14:paraId="26C7570F" w14:textId="4863A1A2">
      <w:pPr>
        <w:pStyle w:val="ListParagraph1"/>
        <w:pBdr>
          <w:left w:val="single" w:sz="4" w:space="4" w:color="auto"/>
        </w:pBdr>
        <w:ind w:left="0"/>
        <w:rPr>
          <w:bCs/>
          <w:sz w:val="16"/>
          <w:szCs w:val="16"/>
        </w:rPr>
      </w:pPr>
    </w:p>
    <w:p w:rsidR="00244DA4" w:rsidRPr="00512403" w:rsidP="00331B68" w14:paraId="313C8CC2" w14:textId="044B312F">
      <w:pPr>
        <w:pStyle w:val="ListParagraph1"/>
        <w:pBdr>
          <w:left w:val="single" w:sz="4" w:space="4" w:color="auto"/>
        </w:pBdr>
        <w:ind w:left="0"/>
        <w:rPr>
          <w:bCs/>
          <w:sz w:val="16"/>
          <w:szCs w:val="16"/>
        </w:rPr>
      </w:pPr>
      <w:r w:rsidRPr="00512403">
        <w:rPr>
          <w:bCs/>
          <w:sz w:val="16"/>
          <w:szCs w:val="16"/>
        </w:rPr>
        <w:t>2.1.1.14.</w:t>
      </w:r>
      <w:r w:rsidRPr="00512403" w:rsidR="004E17EA">
        <w:rPr>
          <w:bCs/>
          <w:sz w:val="16"/>
          <w:szCs w:val="16"/>
        </w:rPr>
        <w:t>7</w:t>
      </w:r>
      <w:r w:rsidRPr="00512403">
        <w:rPr>
          <w:bCs/>
          <w:sz w:val="16"/>
          <w:szCs w:val="16"/>
        </w:rPr>
        <w:t>.</w:t>
      </w:r>
      <w:r w:rsidRPr="00512403" w:rsidR="00825031">
        <w:rPr>
          <w:bCs/>
          <w:sz w:val="16"/>
          <w:szCs w:val="16"/>
        </w:rPr>
        <w:t>6</w:t>
      </w:r>
      <w:r w:rsidRPr="00512403">
        <w:rPr>
          <w:bCs/>
          <w:sz w:val="16"/>
          <w:szCs w:val="16"/>
        </w:rPr>
        <w:t xml:space="preserve">. </w:t>
      </w:r>
      <w:r w:rsidRPr="00512403" w:rsidR="001424B3">
        <w:rPr>
          <w:bCs/>
          <w:sz w:val="16"/>
          <w:szCs w:val="16"/>
        </w:rPr>
        <w:t>Análisis de l</w:t>
      </w:r>
      <w:r w:rsidRPr="00512403">
        <w:rPr>
          <w:bCs/>
          <w:sz w:val="16"/>
          <w:szCs w:val="16"/>
        </w:rPr>
        <w:t>os estándares de revelación de información</w:t>
      </w:r>
      <w:r w:rsidRPr="00512403" w:rsidR="002D4510">
        <w:rPr>
          <w:bCs/>
          <w:sz w:val="16"/>
          <w:szCs w:val="16"/>
        </w:rPr>
        <w:t xml:space="preserve"> del vehículo, el gestor, y la sociedad</w:t>
      </w:r>
      <w:r w:rsidRPr="00512403" w:rsidR="00220FA2">
        <w:rPr>
          <w:bCs/>
          <w:sz w:val="16"/>
          <w:szCs w:val="16"/>
        </w:rPr>
        <w:t xml:space="preserve"> administradora, incluyendo l</w:t>
      </w:r>
      <w:r w:rsidRPr="00512403" w:rsidR="0013180A">
        <w:rPr>
          <w:bCs/>
          <w:sz w:val="16"/>
          <w:szCs w:val="16"/>
        </w:rPr>
        <w:t xml:space="preserve">os estándares de </w:t>
      </w:r>
      <w:r w:rsidRPr="00512403">
        <w:rPr>
          <w:bCs/>
          <w:sz w:val="16"/>
          <w:szCs w:val="16"/>
        </w:rPr>
        <w:t>aseguramiento de la información aplicables.</w:t>
      </w:r>
    </w:p>
    <w:p w:rsidR="008A1E45" w:rsidRPr="00512403" w:rsidP="00331B68" w14:paraId="2D98FF23" w14:textId="6180C00C">
      <w:pPr>
        <w:pStyle w:val="ListParagraph1"/>
        <w:pBdr>
          <w:left w:val="single" w:sz="4" w:space="4" w:color="auto"/>
        </w:pBdr>
        <w:ind w:left="0"/>
        <w:rPr>
          <w:bCs/>
          <w:sz w:val="16"/>
          <w:szCs w:val="16"/>
        </w:rPr>
      </w:pPr>
    </w:p>
    <w:p w:rsidR="00EF5292" w:rsidRPr="00512403" w:rsidP="003F3BE0" w14:paraId="095B9E5D" w14:textId="5EE3BBC0">
      <w:pPr>
        <w:pStyle w:val="ListParagraph1"/>
        <w:pBdr>
          <w:left w:val="single" w:sz="4" w:space="4" w:color="auto"/>
        </w:pBdr>
        <w:ind w:left="0"/>
        <w:rPr>
          <w:bCs/>
          <w:sz w:val="16"/>
          <w:szCs w:val="16"/>
        </w:rPr>
      </w:pPr>
      <w:r w:rsidRPr="00512403">
        <w:rPr>
          <w:bCs/>
          <w:sz w:val="16"/>
          <w:szCs w:val="16"/>
        </w:rPr>
        <w:t>2.1.1.14.</w:t>
      </w:r>
      <w:r w:rsidRPr="00512403" w:rsidR="004E17EA">
        <w:rPr>
          <w:bCs/>
          <w:sz w:val="16"/>
          <w:szCs w:val="16"/>
        </w:rPr>
        <w:t>7</w:t>
      </w:r>
      <w:r w:rsidRPr="00512403">
        <w:rPr>
          <w:bCs/>
          <w:sz w:val="16"/>
          <w:szCs w:val="16"/>
        </w:rPr>
        <w:t xml:space="preserve">.7. </w:t>
      </w:r>
      <w:r w:rsidRPr="00512403" w:rsidR="001424B3">
        <w:rPr>
          <w:bCs/>
          <w:sz w:val="16"/>
          <w:szCs w:val="16"/>
        </w:rPr>
        <w:t>Análisis de l</w:t>
      </w:r>
      <w:r w:rsidRPr="00512403" w:rsidR="00A92675">
        <w:rPr>
          <w:bCs/>
          <w:sz w:val="16"/>
          <w:szCs w:val="16"/>
        </w:rPr>
        <w:t xml:space="preserve">a </w:t>
      </w:r>
      <w:r w:rsidRPr="00512403">
        <w:rPr>
          <w:bCs/>
          <w:sz w:val="16"/>
          <w:szCs w:val="16"/>
        </w:rPr>
        <w:t>integración</w:t>
      </w:r>
      <w:r w:rsidRPr="00512403" w:rsidR="00A92675">
        <w:rPr>
          <w:bCs/>
          <w:sz w:val="16"/>
          <w:szCs w:val="16"/>
        </w:rPr>
        <w:t xml:space="preserve"> de </w:t>
      </w:r>
      <w:r w:rsidRPr="00512403" w:rsidR="00E8262D">
        <w:rPr>
          <w:bCs/>
          <w:sz w:val="16"/>
          <w:szCs w:val="16"/>
        </w:rPr>
        <w:t>factores</w:t>
      </w:r>
      <w:r w:rsidRPr="00512403" w:rsidR="00A10CA2">
        <w:rPr>
          <w:bCs/>
          <w:sz w:val="16"/>
          <w:szCs w:val="16"/>
        </w:rPr>
        <w:t xml:space="preserve"> y metodologías </w:t>
      </w:r>
      <w:r w:rsidRPr="00512403" w:rsidR="00EF4F15">
        <w:rPr>
          <w:bCs/>
          <w:sz w:val="16"/>
          <w:szCs w:val="16"/>
        </w:rPr>
        <w:t>A</w:t>
      </w:r>
      <w:r w:rsidRPr="00512403" w:rsidR="004C67AC">
        <w:rPr>
          <w:bCs/>
          <w:sz w:val="16"/>
          <w:szCs w:val="16"/>
        </w:rPr>
        <w:t xml:space="preserve">SG en </w:t>
      </w:r>
      <w:r w:rsidRPr="00512403" w:rsidR="006D32E5">
        <w:rPr>
          <w:bCs/>
          <w:sz w:val="16"/>
          <w:szCs w:val="16"/>
        </w:rPr>
        <w:t xml:space="preserve">el proceso de inversiones </w:t>
      </w:r>
      <w:r w:rsidRPr="00512403" w:rsidR="00242421">
        <w:rPr>
          <w:bCs/>
          <w:sz w:val="16"/>
          <w:szCs w:val="16"/>
        </w:rPr>
        <w:t>y</w:t>
      </w:r>
      <w:r w:rsidRPr="00512403" w:rsidR="006D32E5">
        <w:rPr>
          <w:bCs/>
          <w:sz w:val="16"/>
          <w:szCs w:val="16"/>
        </w:rPr>
        <w:t xml:space="preserve"> </w:t>
      </w:r>
      <w:r w:rsidRPr="00512403">
        <w:rPr>
          <w:bCs/>
          <w:sz w:val="16"/>
          <w:szCs w:val="16"/>
        </w:rPr>
        <w:t>la gestión de riesgos del vehículo</w:t>
      </w:r>
      <w:r w:rsidRPr="00512403" w:rsidR="00B1444F">
        <w:rPr>
          <w:bCs/>
          <w:sz w:val="16"/>
          <w:szCs w:val="16"/>
        </w:rPr>
        <w:t>, incluyendo el análisis de las políticas del gestor</w:t>
      </w:r>
      <w:r w:rsidRPr="00512403" w:rsidR="00696A97">
        <w:rPr>
          <w:bCs/>
          <w:sz w:val="16"/>
          <w:szCs w:val="16"/>
        </w:rPr>
        <w:t xml:space="preserve"> en estos asuntos. </w:t>
      </w:r>
    </w:p>
    <w:p w:rsidR="00331B68" w:rsidRPr="00512403" w:rsidP="003F3BE0" w14:paraId="34B7C694" w14:textId="3E05763D">
      <w:pPr>
        <w:pStyle w:val="ListParagraph1"/>
        <w:pBdr>
          <w:left w:val="single" w:sz="4" w:space="4" w:color="auto"/>
        </w:pBdr>
        <w:ind w:left="0"/>
        <w:rPr>
          <w:bCs/>
          <w:sz w:val="16"/>
          <w:szCs w:val="16"/>
        </w:rPr>
      </w:pPr>
    </w:p>
    <w:p w:rsidR="003F3BE0" w:rsidRPr="00512403" w:rsidP="003F3BE0" w14:paraId="7295E6B6" w14:textId="01FDCEAF">
      <w:pPr>
        <w:pStyle w:val="ListParagraph1"/>
        <w:pBdr>
          <w:left w:val="single" w:sz="4" w:space="4" w:color="auto"/>
        </w:pBdr>
        <w:ind w:left="0"/>
        <w:rPr>
          <w:bCs/>
          <w:sz w:val="16"/>
          <w:szCs w:val="16"/>
        </w:rPr>
      </w:pPr>
      <w:r w:rsidRPr="00512403">
        <w:rPr>
          <w:bCs/>
          <w:sz w:val="16"/>
          <w:szCs w:val="16"/>
        </w:rPr>
        <w:t>2.1.1.14.</w:t>
      </w:r>
      <w:r w:rsidRPr="00512403" w:rsidR="004E17EA">
        <w:rPr>
          <w:bCs/>
          <w:sz w:val="16"/>
          <w:szCs w:val="16"/>
        </w:rPr>
        <w:t>7</w:t>
      </w:r>
      <w:r w:rsidRPr="00512403">
        <w:rPr>
          <w:bCs/>
          <w:sz w:val="16"/>
          <w:szCs w:val="16"/>
        </w:rPr>
        <w:t xml:space="preserve">.8. </w:t>
      </w:r>
      <w:r w:rsidRPr="00512403" w:rsidR="00AD5970">
        <w:rPr>
          <w:bCs/>
          <w:sz w:val="16"/>
          <w:szCs w:val="16"/>
        </w:rPr>
        <w:t>A</w:t>
      </w:r>
      <w:r w:rsidRPr="00512403">
        <w:rPr>
          <w:bCs/>
          <w:sz w:val="16"/>
          <w:szCs w:val="16"/>
        </w:rPr>
        <w:t>nálisis de l</w:t>
      </w:r>
      <w:r w:rsidRPr="00512403" w:rsidR="0037737D">
        <w:rPr>
          <w:bCs/>
          <w:sz w:val="16"/>
          <w:szCs w:val="16"/>
        </w:rPr>
        <w:t>as condiciones de los contratos y lo</w:t>
      </w:r>
      <w:r w:rsidRPr="00512403">
        <w:rPr>
          <w:bCs/>
          <w:sz w:val="16"/>
          <w:szCs w:val="16"/>
        </w:rPr>
        <w:t>s mecanismos de salida de la inversión.</w:t>
      </w:r>
    </w:p>
    <w:p w:rsidR="00A66B7B" w:rsidRPr="00512403" w:rsidP="00A66B7B" w14:paraId="2FDCB0BB" w14:textId="77777777">
      <w:pPr>
        <w:autoSpaceDE w:val="0"/>
        <w:autoSpaceDN w:val="0"/>
        <w:adjustRightInd w:val="0"/>
        <w:rPr>
          <w:rFonts w:cs="Arial"/>
          <w:sz w:val="12"/>
          <w:szCs w:val="16"/>
        </w:rPr>
      </w:pPr>
    </w:p>
    <w:p w:rsidR="00A66B7B" w:rsidRPr="00512403" w:rsidP="00A66B7B" w14:paraId="2FDCB0BC" w14:textId="77777777">
      <w:pPr>
        <w:autoSpaceDE w:val="0"/>
        <w:autoSpaceDN w:val="0"/>
        <w:adjustRightInd w:val="0"/>
        <w:rPr>
          <w:rFonts w:cs="Arial"/>
          <w:bCs/>
          <w:sz w:val="16"/>
          <w:szCs w:val="16"/>
        </w:rPr>
      </w:pPr>
      <w:r w:rsidRPr="00512403">
        <w:rPr>
          <w:rFonts w:cs="Arial"/>
          <w:bCs/>
          <w:sz w:val="16"/>
          <w:szCs w:val="16"/>
        </w:rPr>
        <w:t>2.1.2. Mecanismos de difusión</w:t>
      </w:r>
    </w:p>
    <w:p w:rsidR="00A66B7B" w:rsidRPr="00512403" w:rsidP="00A66B7B" w14:paraId="2FDCB0BD" w14:textId="77777777">
      <w:pPr>
        <w:autoSpaceDE w:val="0"/>
        <w:autoSpaceDN w:val="0"/>
        <w:adjustRightInd w:val="0"/>
        <w:rPr>
          <w:rFonts w:cs="Arial"/>
          <w:bCs/>
          <w:sz w:val="12"/>
          <w:szCs w:val="16"/>
        </w:rPr>
      </w:pPr>
    </w:p>
    <w:p w:rsidR="00A66B7B" w:rsidRPr="00512403" w:rsidP="00A66B7B" w14:paraId="2FDCB0BE" w14:textId="77777777">
      <w:pPr>
        <w:autoSpaceDE w:val="0"/>
        <w:autoSpaceDN w:val="0"/>
        <w:adjustRightInd w:val="0"/>
        <w:rPr>
          <w:rFonts w:cs="Arial"/>
          <w:sz w:val="16"/>
          <w:szCs w:val="16"/>
        </w:rPr>
      </w:pPr>
      <w:r w:rsidRPr="00512403">
        <w:rPr>
          <w:rFonts w:cs="Arial"/>
          <w:sz w:val="16"/>
          <w:szCs w:val="16"/>
        </w:rPr>
        <w:t xml:space="preserve">Las AFPC deben divulgar la política de inversión de cada uno de los tipos de fondos de pensiones obligatorias y de los portafolios del fondo de cesantía a través de su página de internet, en una ubicación de fácil acceso y con un enlace que permita acceder directamente a dichas políticas. Estas políticas pueden incluirse en un documento general siempre que éste identifique claramente los elementos específicos aplicables para cada tipo de fondo. </w:t>
      </w:r>
    </w:p>
    <w:p w:rsidR="00A66B7B" w:rsidRPr="00512403" w:rsidP="00A66B7B" w14:paraId="2FDCB0BF" w14:textId="77777777">
      <w:pPr>
        <w:autoSpaceDE w:val="0"/>
        <w:autoSpaceDN w:val="0"/>
        <w:adjustRightInd w:val="0"/>
        <w:rPr>
          <w:rFonts w:cs="Arial"/>
          <w:sz w:val="12"/>
          <w:szCs w:val="16"/>
        </w:rPr>
      </w:pPr>
    </w:p>
    <w:p w:rsidR="00A66B7B" w:rsidRPr="00512403" w:rsidP="00A66B7B" w14:paraId="2FDCB0C0" w14:textId="77777777">
      <w:pPr>
        <w:autoSpaceDE w:val="0"/>
        <w:autoSpaceDN w:val="0"/>
        <w:adjustRightInd w:val="0"/>
        <w:rPr>
          <w:rFonts w:cs="Arial"/>
          <w:sz w:val="16"/>
          <w:szCs w:val="16"/>
        </w:rPr>
      </w:pPr>
      <w:r w:rsidRPr="00512403">
        <w:rPr>
          <w:rFonts w:cs="Arial"/>
          <w:sz w:val="16"/>
          <w:szCs w:val="16"/>
        </w:rPr>
        <w:t xml:space="preserve">Esta información debe ser remitida a la SFC quince (15) días hábiles antes de su publicación, así como de cualquier modificación que realice a las mismas, </w:t>
      </w:r>
      <w:r w:rsidRPr="00512403">
        <w:rPr>
          <w:rFonts w:cs="Arial"/>
          <w:bCs/>
          <w:sz w:val="16"/>
          <w:szCs w:val="16"/>
        </w:rPr>
        <w:t>con el extracto del acta de la junta directiva en la cual se aprobó</w:t>
      </w:r>
    </w:p>
    <w:p w:rsidR="00A66B7B" w:rsidRPr="00512403" w:rsidP="00A66B7B" w14:paraId="2FDCB0C1" w14:textId="77777777">
      <w:pPr>
        <w:tabs>
          <w:tab w:val="left" w:pos="3917"/>
        </w:tabs>
        <w:autoSpaceDE w:val="0"/>
        <w:autoSpaceDN w:val="0"/>
        <w:adjustRightInd w:val="0"/>
        <w:rPr>
          <w:rFonts w:cs="Arial"/>
          <w:sz w:val="16"/>
          <w:szCs w:val="16"/>
        </w:rPr>
      </w:pPr>
      <w:r w:rsidRPr="00512403">
        <w:rPr>
          <w:rFonts w:cs="Arial"/>
          <w:sz w:val="16"/>
          <w:szCs w:val="16"/>
        </w:rPr>
        <w:tab/>
      </w:r>
    </w:p>
    <w:p w:rsidR="00A66B7B" w:rsidRPr="00512403" w:rsidP="00A66B7B" w14:paraId="2FDCB0C2" w14:textId="77777777">
      <w:pPr>
        <w:autoSpaceDE w:val="0"/>
        <w:autoSpaceDN w:val="0"/>
        <w:adjustRightInd w:val="0"/>
        <w:rPr>
          <w:rFonts w:cs="Arial"/>
          <w:sz w:val="16"/>
          <w:szCs w:val="16"/>
        </w:rPr>
      </w:pPr>
      <w:r w:rsidRPr="00512403">
        <w:rPr>
          <w:rFonts w:cs="Arial"/>
          <w:sz w:val="16"/>
          <w:szCs w:val="16"/>
        </w:rPr>
        <w:t>En las notas a los estados financieros la AFPC debe informar sobre la existencia de las políticas de inversión de los tipos de fondos de pensiones obligatorias y de los portafolios del fondo de cesantía, y los medios a través de los cuales se puede acceder a ellas. Adicionalmente, las AFPC pueden disponer de otros mecanismos de difusión de las políticas de inversión, distintos a los señalados anteriormente.</w:t>
      </w:r>
    </w:p>
    <w:p w:rsidR="007A040A" w:rsidP="00A66B7B" w14:paraId="7ADA4539" w14:textId="77777777">
      <w:pPr>
        <w:autoSpaceDE w:val="0"/>
        <w:autoSpaceDN w:val="0"/>
        <w:adjustRightInd w:val="0"/>
        <w:rPr>
          <w:rFonts w:cs="Arial"/>
          <w:sz w:val="14"/>
          <w:szCs w:val="16"/>
        </w:rPr>
        <w:sectPr w:rsidSect="00BA5C2C">
          <w:footerReference w:type="default" r:id="rId10"/>
          <w:pgSz w:w="12242" w:h="20163" w:code="120"/>
          <w:pgMar w:top="1418" w:right="1469" w:bottom="1418" w:left="1701" w:header="1134" w:footer="1134" w:gutter="0"/>
          <w:pgNumType w:start="2"/>
          <w:cols w:space="708"/>
          <w:docGrid w:linePitch="360"/>
        </w:sectPr>
      </w:pPr>
    </w:p>
    <w:p w:rsidR="00A66B7B" w:rsidRPr="00512403" w:rsidP="00A66B7B" w14:paraId="2FDCB0C3" w14:textId="79137772">
      <w:pPr>
        <w:autoSpaceDE w:val="0"/>
        <w:autoSpaceDN w:val="0"/>
        <w:adjustRightInd w:val="0"/>
        <w:rPr>
          <w:rFonts w:cs="Arial"/>
          <w:sz w:val="14"/>
          <w:szCs w:val="16"/>
        </w:rPr>
      </w:pPr>
    </w:p>
    <w:p w:rsidR="00A66B7B" w:rsidRPr="00512403" w:rsidP="00A66B7B" w14:paraId="2FDCB0C4" w14:textId="77777777">
      <w:pPr>
        <w:autoSpaceDE w:val="0"/>
        <w:autoSpaceDN w:val="0"/>
        <w:adjustRightInd w:val="0"/>
        <w:rPr>
          <w:rFonts w:cs="Arial"/>
          <w:sz w:val="16"/>
          <w:szCs w:val="16"/>
        </w:rPr>
      </w:pPr>
      <w:r w:rsidRPr="00512403">
        <w:rPr>
          <w:rFonts w:cs="Arial"/>
          <w:sz w:val="16"/>
          <w:szCs w:val="16"/>
        </w:rPr>
        <w:t>2.1.3. Las AFPC deben publicar para cada uno de los tipos de fondos de pensiones obligatorias un resumen de las políticas de inversión, en la cual se resuma de manera breve, clara, y entendible para un afiliado sin experiencia en inversiones, la siguiente información contenida en las políticas de inversión:</w:t>
      </w:r>
    </w:p>
    <w:p w:rsidR="00A66B7B" w:rsidRPr="00512403" w:rsidP="00A66B7B" w14:paraId="2FDCB0C5" w14:textId="77777777">
      <w:pPr>
        <w:autoSpaceDE w:val="0"/>
        <w:autoSpaceDN w:val="0"/>
        <w:adjustRightInd w:val="0"/>
        <w:rPr>
          <w:rFonts w:cs="Arial"/>
          <w:sz w:val="12"/>
          <w:szCs w:val="16"/>
        </w:rPr>
      </w:pPr>
    </w:p>
    <w:p w:rsidR="00A66B7B" w:rsidRPr="00512403" w:rsidP="00A66B7B" w14:paraId="2FDCB0C6" w14:textId="77777777">
      <w:pPr>
        <w:autoSpaceDE w:val="0"/>
        <w:autoSpaceDN w:val="0"/>
        <w:adjustRightInd w:val="0"/>
        <w:rPr>
          <w:rFonts w:cs="Arial"/>
          <w:sz w:val="16"/>
          <w:szCs w:val="16"/>
        </w:rPr>
      </w:pPr>
      <w:r w:rsidRPr="00512403">
        <w:rPr>
          <w:rFonts w:cs="Arial"/>
          <w:sz w:val="16"/>
          <w:szCs w:val="16"/>
        </w:rPr>
        <w:t>2.1.3.1. Los objetivos de inversión, horizontes de inversión, y el perfil de riesgo establecidos de acuerdo al perfil de los afiliados del fondo.</w:t>
      </w:r>
    </w:p>
    <w:p w:rsidR="00A66B7B" w:rsidRPr="00512403" w:rsidP="00AD6B47" w14:paraId="2FDCB0C7" w14:textId="6F6DC4BE">
      <w:pPr>
        <w:pBdr>
          <w:left w:val="single" w:sz="4" w:space="4" w:color="auto"/>
        </w:pBdr>
        <w:autoSpaceDE w:val="0"/>
        <w:autoSpaceDN w:val="0"/>
        <w:adjustRightInd w:val="0"/>
        <w:rPr>
          <w:rFonts w:cs="Arial"/>
          <w:b/>
          <w:bCs/>
          <w:sz w:val="16"/>
          <w:szCs w:val="16"/>
        </w:rPr>
      </w:pPr>
      <w:r w:rsidRPr="00512403">
        <w:rPr>
          <w:rFonts w:cs="Arial"/>
          <w:sz w:val="16"/>
          <w:szCs w:val="16"/>
        </w:rPr>
        <w:t xml:space="preserve">2.1.3.2. Los principales límites de inversión y los riesgos asociados </w:t>
      </w:r>
      <w:r w:rsidRPr="00512403">
        <w:rPr>
          <w:rFonts w:cs="Arial"/>
          <w:b/>
          <w:bCs/>
          <w:sz w:val="16"/>
          <w:szCs w:val="16"/>
        </w:rPr>
        <w:t xml:space="preserve">a </w:t>
      </w:r>
      <w:r w:rsidRPr="00512403" w:rsidR="00AD6B47">
        <w:rPr>
          <w:rFonts w:cs="Arial"/>
          <w:b/>
          <w:bCs/>
          <w:sz w:val="16"/>
          <w:szCs w:val="16"/>
        </w:rPr>
        <w:t>las inversiones del fondo.</w:t>
      </w:r>
      <w:r w:rsidRPr="00512403">
        <w:rPr>
          <w:rFonts w:cs="Arial"/>
          <w:b/>
          <w:bCs/>
          <w:sz w:val="16"/>
          <w:szCs w:val="16"/>
        </w:rPr>
        <w:t xml:space="preserve"> </w:t>
      </w:r>
    </w:p>
    <w:p w:rsidR="00A66B7B" w:rsidRPr="00512403" w:rsidP="00A66B7B" w14:paraId="2FDCB0C8" w14:textId="77777777">
      <w:pPr>
        <w:autoSpaceDE w:val="0"/>
        <w:autoSpaceDN w:val="0"/>
        <w:adjustRightInd w:val="0"/>
        <w:rPr>
          <w:rFonts w:cs="Arial"/>
          <w:sz w:val="16"/>
          <w:szCs w:val="16"/>
        </w:rPr>
      </w:pPr>
      <w:r w:rsidRPr="00512403">
        <w:rPr>
          <w:rFonts w:cs="Arial"/>
          <w:sz w:val="16"/>
          <w:szCs w:val="16"/>
        </w:rPr>
        <w:t>2.1.3.3. Evaluación anual sobre el cumplimiento general de los objetivos de inversión del fondo.</w:t>
      </w:r>
    </w:p>
    <w:p w:rsidR="00A66B7B" w:rsidRPr="00512403" w:rsidP="00A66B7B" w14:paraId="2FDCB0C9" w14:textId="77777777">
      <w:pPr>
        <w:autoSpaceDE w:val="0"/>
        <w:autoSpaceDN w:val="0"/>
        <w:adjustRightInd w:val="0"/>
        <w:rPr>
          <w:rFonts w:cs="Arial"/>
          <w:sz w:val="12"/>
          <w:szCs w:val="16"/>
        </w:rPr>
      </w:pPr>
    </w:p>
    <w:p w:rsidR="00A66B7B" w:rsidRPr="00512403" w:rsidP="00A66B7B" w14:paraId="2FDCB0CA" w14:textId="77777777">
      <w:pPr>
        <w:pStyle w:val="Heading2"/>
        <w:spacing w:before="0" w:after="0"/>
      </w:pPr>
      <w:bookmarkStart w:id="1" w:name="_Toc267211380"/>
      <w:r w:rsidRPr="00512403">
        <w:t>2.2. Comité de riesgos y comité de inversiones</w:t>
      </w:r>
      <w:bookmarkEnd w:id="1"/>
    </w:p>
    <w:p w:rsidR="00A66B7B" w:rsidRPr="00512403" w:rsidP="00A66B7B" w14:paraId="2FDCB0CB" w14:textId="77777777">
      <w:pPr>
        <w:rPr>
          <w:rFonts w:cs="Arial"/>
          <w:b/>
          <w:sz w:val="12"/>
          <w:szCs w:val="16"/>
        </w:rPr>
      </w:pPr>
    </w:p>
    <w:p w:rsidR="00A66B7B" w:rsidRPr="00512403" w:rsidP="00A66B7B" w14:paraId="2FDCB0CC" w14:textId="77777777">
      <w:pPr>
        <w:pStyle w:val="NormalWeb"/>
        <w:spacing w:before="0" w:beforeAutospacing="0" w:after="0" w:afterAutospacing="0"/>
        <w:jc w:val="both"/>
        <w:rPr>
          <w:rFonts w:ascii="Arial" w:hAnsi="Arial" w:cs="Arial"/>
          <w:color w:val="auto"/>
          <w:sz w:val="16"/>
          <w:szCs w:val="16"/>
        </w:rPr>
      </w:pPr>
      <w:r w:rsidRPr="00512403">
        <w:rPr>
          <w:rFonts w:ascii="Arial" w:hAnsi="Arial" w:cs="Arial"/>
          <w:color w:val="auto"/>
          <w:sz w:val="16"/>
          <w:szCs w:val="16"/>
        </w:rPr>
        <w:t>Las AFPC deben mantener su comité de riesgos y de comité de inversiones acorde con los requisitos mínimos señalados en el presente Capítulo, sin perjuicio de lo establecido en el sistema de control interno a que se refiere el Capítulo IV, Título I de la Parte I de la CBJ, y de las disposiciones que en materia de administración de riesgos se establecen en la CBCF.</w:t>
      </w:r>
    </w:p>
    <w:p w:rsidR="00A66B7B" w:rsidRPr="00512403" w:rsidP="00A66B7B" w14:paraId="2FDCB0CD" w14:textId="77777777">
      <w:pPr>
        <w:pStyle w:val="NormalWeb"/>
        <w:spacing w:before="0" w:beforeAutospacing="0" w:after="0" w:afterAutospacing="0"/>
        <w:jc w:val="both"/>
        <w:rPr>
          <w:rFonts w:ascii="Arial" w:hAnsi="Arial" w:cs="Arial"/>
          <w:color w:val="auto"/>
          <w:sz w:val="12"/>
          <w:szCs w:val="16"/>
        </w:rPr>
      </w:pPr>
    </w:p>
    <w:p w:rsidR="00A66B7B" w:rsidRPr="00512403" w:rsidP="00A66B7B" w14:paraId="2FDCB0CE" w14:textId="77777777">
      <w:pPr>
        <w:rPr>
          <w:rFonts w:cs="Arial"/>
          <w:sz w:val="16"/>
          <w:szCs w:val="16"/>
        </w:rPr>
      </w:pPr>
      <w:r w:rsidRPr="00512403">
        <w:rPr>
          <w:rFonts w:cs="Arial"/>
          <w:sz w:val="16"/>
          <w:szCs w:val="16"/>
        </w:rPr>
        <w:t>2.2.1. Conformación y funcionamiento</w:t>
      </w:r>
    </w:p>
    <w:p w:rsidR="00A66B7B" w:rsidRPr="00512403" w:rsidP="00A66B7B" w14:paraId="2FDCB0CF" w14:textId="77777777">
      <w:pPr>
        <w:pStyle w:val="NormalWeb"/>
        <w:spacing w:before="0" w:beforeAutospacing="0" w:after="0" w:afterAutospacing="0"/>
        <w:jc w:val="both"/>
        <w:rPr>
          <w:rFonts w:ascii="Arial" w:hAnsi="Arial" w:cs="Arial"/>
          <w:b/>
          <w:color w:val="auto"/>
          <w:sz w:val="12"/>
          <w:szCs w:val="16"/>
          <w:lang w:val="es-ES_tradnl"/>
        </w:rPr>
      </w:pPr>
    </w:p>
    <w:p w:rsidR="00A66B7B" w:rsidRPr="00512403" w:rsidP="00950211" w14:paraId="2FDCB0D0" w14:textId="739D0AF0">
      <w:pPr>
        <w:pBdr>
          <w:left w:val="single" w:sz="4" w:space="4" w:color="auto"/>
        </w:pBdr>
        <w:rPr>
          <w:rFonts w:cs="Arial"/>
          <w:bCs/>
          <w:sz w:val="16"/>
          <w:szCs w:val="16"/>
        </w:rPr>
      </w:pPr>
      <w:r w:rsidRPr="00512403">
        <w:rPr>
          <w:rFonts w:cs="Arial"/>
          <w:sz w:val="16"/>
          <w:szCs w:val="16"/>
        </w:rPr>
        <w:t>El comité de riesgos y el comité de inversiones de las AFPC deben conformarse cada uno por lo menos</w:t>
      </w:r>
      <w:r w:rsidR="00C21388">
        <w:rPr>
          <w:rFonts w:cs="Arial"/>
          <w:sz w:val="16"/>
          <w:szCs w:val="16"/>
        </w:rPr>
        <w:t xml:space="preserve"> </w:t>
      </w:r>
      <w:r w:rsidRPr="00C21388" w:rsidR="00C21388">
        <w:rPr>
          <w:rFonts w:cs="Arial"/>
          <w:b/>
          <w:bCs/>
          <w:sz w:val="16"/>
          <w:szCs w:val="16"/>
        </w:rPr>
        <w:t>con</w:t>
      </w:r>
      <w:r w:rsidRPr="00512403">
        <w:rPr>
          <w:rFonts w:cs="Arial"/>
          <w:sz w:val="16"/>
          <w:szCs w:val="16"/>
        </w:rPr>
        <w:t xml:space="preserve"> 5 miembros, </w:t>
      </w:r>
      <w:r w:rsidRPr="00404EF9" w:rsidR="00404EF9">
        <w:rPr>
          <w:rFonts w:cs="Arial"/>
          <w:b/>
          <w:bCs/>
          <w:sz w:val="16"/>
          <w:szCs w:val="16"/>
        </w:rPr>
        <w:t>o más</w:t>
      </w:r>
      <w:r w:rsidR="00404EF9">
        <w:rPr>
          <w:rFonts w:cs="Arial"/>
          <w:sz w:val="16"/>
          <w:szCs w:val="16"/>
        </w:rPr>
        <w:t xml:space="preserve"> </w:t>
      </w:r>
      <w:r w:rsidRPr="00512403">
        <w:rPr>
          <w:rFonts w:cs="Arial"/>
          <w:sz w:val="16"/>
          <w:szCs w:val="16"/>
        </w:rPr>
        <w:t>siempre que corresponda a un número impar, designados por la junta directiva, que acrediten conocimiento y experiencia en las respectivas materias</w:t>
      </w:r>
      <w:r w:rsidRPr="00512403" w:rsidR="00950211">
        <w:rPr>
          <w:rFonts w:cs="Arial"/>
          <w:sz w:val="16"/>
          <w:szCs w:val="16"/>
        </w:rPr>
        <w:t xml:space="preserve"> </w:t>
      </w:r>
      <w:r w:rsidRPr="00512403" w:rsidR="00950211">
        <w:rPr>
          <w:rFonts w:cs="Arial"/>
          <w:b/>
          <w:bCs/>
          <w:sz w:val="16"/>
          <w:szCs w:val="16"/>
        </w:rPr>
        <w:t>y asuntos relacionados con sus funciones.</w:t>
      </w:r>
      <w:r w:rsidRPr="00512403">
        <w:rPr>
          <w:rFonts w:cs="Arial"/>
          <w:sz w:val="16"/>
          <w:szCs w:val="16"/>
        </w:rPr>
        <w:t xml:space="preserve"> Dichos requisitos deben ser determinados y evaluados por la junta directiva de forma previa a la designación de los miembros de los comités. </w:t>
      </w:r>
      <w:r w:rsidRPr="00512403">
        <w:rPr>
          <w:rFonts w:cs="Arial"/>
          <w:bCs/>
          <w:sz w:val="16"/>
          <w:szCs w:val="16"/>
        </w:rPr>
        <w:t>Estos miembros únicamente podrán ser parte de uno de los dos comités, el de riesgos o el de inversiones.</w:t>
      </w:r>
    </w:p>
    <w:p w:rsidR="00A66B7B" w:rsidRPr="00512403" w:rsidP="00F0621B" w14:paraId="2FDCB0D1" w14:textId="77777777">
      <w:pPr>
        <w:rPr>
          <w:rFonts w:cs="Arial"/>
          <w:sz w:val="12"/>
          <w:szCs w:val="16"/>
        </w:rPr>
      </w:pPr>
    </w:p>
    <w:p w:rsidR="00A66B7B" w:rsidRPr="00512403" w:rsidP="00F0621B" w14:paraId="2FDCB0D2" w14:textId="7BAB4A5A">
      <w:pPr>
        <w:rPr>
          <w:rFonts w:cs="Arial"/>
          <w:b/>
          <w:sz w:val="16"/>
          <w:szCs w:val="16"/>
        </w:rPr>
      </w:pPr>
      <w:r w:rsidRPr="00512403">
        <w:rPr>
          <w:rFonts w:cs="Arial"/>
          <w:sz w:val="16"/>
          <w:szCs w:val="16"/>
        </w:rPr>
        <w:t>Cada comité debe contar con por lo menos 1 miembro de la junta directiva y con por lo menos 1 miembro que cumpla con los supuestos de independencia previstos en el parágrafo 2 del artículo 44 de la Ley 964 de 2005.</w:t>
      </w:r>
      <w:r w:rsidRPr="00512403">
        <w:rPr>
          <w:rFonts w:cs="Arial"/>
          <w:b/>
          <w:sz w:val="16"/>
          <w:szCs w:val="16"/>
        </w:rPr>
        <w:t xml:space="preserve"> </w:t>
      </w:r>
    </w:p>
    <w:p w:rsidR="00A66B7B" w:rsidRPr="00512403" w:rsidP="00F0621B" w14:paraId="2FDCB0D3" w14:textId="77777777">
      <w:pPr>
        <w:rPr>
          <w:rFonts w:cs="Arial"/>
          <w:b/>
          <w:sz w:val="12"/>
          <w:szCs w:val="16"/>
        </w:rPr>
      </w:pPr>
    </w:p>
    <w:p w:rsidR="00A66B7B" w:rsidRPr="00512403" w:rsidP="00F0621B" w14:paraId="2FDCB0D4" w14:textId="7AE3C3C5">
      <w:pPr>
        <w:rPr>
          <w:rFonts w:cs="Arial"/>
          <w:bCs/>
          <w:sz w:val="16"/>
          <w:szCs w:val="16"/>
        </w:rPr>
      </w:pPr>
      <w:r w:rsidRPr="00512403">
        <w:rPr>
          <w:rFonts w:cs="Arial"/>
          <w:bCs/>
          <w:sz w:val="16"/>
          <w:szCs w:val="16"/>
        </w:rPr>
        <w:t>Para dar cumplimiento al requisito del 40% de miembros independientes establecido en el numeral 2 del art. 2.39.3.1.5. del Decreto 2555 de 2010, en las AFPC que hagan parte de un conglomerado financiero, el miembro de junta directiva que sea designado para conformar cada comité, podrá a su vez tener la calidad de miembro independiente, siempre que cumpla con los requisitos allí definidos.</w:t>
      </w:r>
    </w:p>
    <w:p w:rsidR="004565C5" w:rsidRPr="00512403" w:rsidP="00F0621B" w14:paraId="0EDA5BB9" w14:textId="69FD851F">
      <w:pPr>
        <w:rPr>
          <w:rFonts w:cs="Arial"/>
          <w:bCs/>
          <w:sz w:val="16"/>
          <w:szCs w:val="16"/>
        </w:rPr>
      </w:pPr>
    </w:p>
    <w:p w:rsidR="004565C5" w:rsidRPr="00E96B66" w:rsidP="009C3464" w14:paraId="3DE8E9F4" w14:textId="7DB41B55">
      <w:pPr>
        <w:pBdr>
          <w:left w:val="single" w:sz="4" w:space="4" w:color="auto"/>
        </w:pBdr>
        <w:rPr>
          <w:rFonts w:cs="Arial"/>
          <w:b/>
          <w:sz w:val="16"/>
          <w:szCs w:val="16"/>
        </w:rPr>
      </w:pPr>
      <w:r w:rsidRPr="000F4C38">
        <w:rPr>
          <w:rFonts w:cs="Arial"/>
          <w:b/>
          <w:sz w:val="16"/>
          <w:szCs w:val="16"/>
        </w:rPr>
        <w:t xml:space="preserve">La junta directiva debe establecer los criterios, periodicidad y la metodología </w:t>
      </w:r>
      <w:r w:rsidR="007D3CCB">
        <w:rPr>
          <w:rFonts w:cs="Arial"/>
          <w:b/>
          <w:sz w:val="16"/>
          <w:szCs w:val="16"/>
        </w:rPr>
        <w:t>para el</w:t>
      </w:r>
      <w:r w:rsidRPr="000F4C38">
        <w:rPr>
          <w:rFonts w:cs="Arial"/>
          <w:b/>
          <w:sz w:val="16"/>
          <w:szCs w:val="16"/>
        </w:rPr>
        <w:t xml:space="preserve"> </w:t>
      </w:r>
      <w:r w:rsidRPr="00512403" w:rsidR="00D6202E">
        <w:rPr>
          <w:rFonts w:cs="Arial"/>
          <w:b/>
          <w:sz w:val="16"/>
          <w:szCs w:val="16"/>
        </w:rPr>
        <w:t xml:space="preserve">seguimiento </w:t>
      </w:r>
      <w:r w:rsidR="007D3CCB">
        <w:rPr>
          <w:rFonts w:cs="Arial"/>
          <w:b/>
          <w:sz w:val="16"/>
          <w:szCs w:val="16"/>
        </w:rPr>
        <w:t>del</w:t>
      </w:r>
      <w:r w:rsidRPr="00512403" w:rsidR="00D6202E">
        <w:rPr>
          <w:rFonts w:cs="Arial"/>
          <w:b/>
          <w:sz w:val="16"/>
          <w:szCs w:val="16"/>
        </w:rPr>
        <w:t xml:space="preserve"> desempeño de los </w:t>
      </w:r>
      <w:r w:rsidRPr="00E96B66" w:rsidR="00D6202E">
        <w:rPr>
          <w:rFonts w:cs="Arial"/>
          <w:b/>
          <w:sz w:val="16"/>
          <w:szCs w:val="16"/>
        </w:rPr>
        <w:t xml:space="preserve">comités </w:t>
      </w:r>
      <w:r w:rsidRPr="00E96B66" w:rsidR="008A2CD0">
        <w:rPr>
          <w:rFonts w:cs="Arial"/>
          <w:b/>
          <w:sz w:val="16"/>
          <w:szCs w:val="16"/>
        </w:rPr>
        <w:t>y</w:t>
      </w:r>
      <w:r w:rsidRPr="00E96B66" w:rsidR="00C44B6F">
        <w:rPr>
          <w:rFonts w:cs="Arial"/>
          <w:b/>
          <w:sz w:val="16"/>
          <w:szCs w:val="16"/>
        </w:rPr>
        <w:t xml:space="preserve"> para</w:t>
      </w:r>
      <w:r w:rsidRPr="00E96B66" w:rsidR="008A2CD0">
        <w:rPr>
          <w:rFonts w:cs="Arial"/>
          <w:b/>
          <w:sz w:val="16"/>
          <w:szCs w:val="16"/>
        </w:rPr>
        <w:t xml:space="preserve"> la </w:t>
      </w:r>
      <w:r w:rsidRPr="00E96B66">
        <w:rPr>
          <w:rFonts w:cs="Arial"/>
          <w:b/>
          <w:sz w:val="16"/>
          <w:szCs w:val="16"/>
        </w:rPr>
        <w:t xml:space="preserve">evaluación de </w:t>
      </w:r>
      <w:r w:rsidRPr="00E96B66" w:rsidR="008A2CD0">
        <w:rPr>
          <w:rFonts w:cs="Arial"/>
          <w:b/>
          <w:sz w:val="16"/>
          <w:szCs w:val="16"/>
        </w:rPr>
        <w:t>sus miembros.</w:t>
      </w:r>
    </w:p>
    <w:p w:rsidR="00A66B7B" w:rsidRPr="00E96B66" w:rsidP="00F0621B" w14:paraId="2FDCB0D5" w14:textId="77777777">
      <w:pPr>
        <w:rPr>
          <w:rFonts w:cs="Arial"/>
          <w:bCs/>
          <w:sz w:val="16"/>
        </w:rPr>
      </w:pPr>
    </w:p>
    <w:p w:rsidR="00A66B7B" w:rsidRPr="00E96B66" w:rsidP="00F0621B" w14:paraId="2FDCB0D6" w14:textId="77777777">
      <w:pPr>
        <w:rPr>
          <w:rFonts w:cs="Arial"/>
          <w:bCs/>
          <w:sz w:val="16"/>
          <w:szCs w:val="16"/>
        </w:rPr>
      </w:pPr>
      <w:r w:rsidRPr="00E96B66">
        <w:rPr>
          <w:rFonts w:cs="Arial"/>
          <w:bCs/>
          <w:sz w:val="16"/>
          <w:szCs w:val="16"/>
        </w:rPr>
        <w:t>Tanto el comité de riesgos como el de inversiones deben contar con su respectivo reglamento de funcionamiento. Este reglamento debe ser aprobado por la junta directiva de la AFPC y contener las reglas para conformar el quorum y las mayorías necesarias para la toma de decisiones, las cuales deben establecer, como mínimo:</w:t>
      </w:r>
    </w:p>
    <w:p w:rsidR="00A66B7B" w:rsidRPr="00E96B66" w:rsidP="00F0621B" w14:paraId="2FDCB0D7" w14:textId="77777777">
      <w:pPr>
        <w:rPr>
          <w:rFonts w:cs="Arial"/>
          <w:bCs/>
          <w:sz w:val="12"/>
          <w:szCs w:val="16"/>
        </w:rPr>
      </w:pPr>
    </w:p>
    <w:p w:rsidR="00A66B7B" w:rsidRPr="00E96B66" w:rsidP="00F0621B" w14:paraId="2FDCB0D8" w14:textId="77777777">
      <w:pPr>
        <w:rPr>
          <w:rFonts w:cs="Arial"/>
          <w:bCs/>
          <w:sz w:val="16"/>
          <w:szCs w:val="16"/>
        </w:rPr>
      </w:pPr>
      <w:r w:rsidRPr="00E96B66">
        <w:rPr>
          <w:rFonts w:cs="Arial"/>
          <w:bCs/>
          <w:sz w:val="16"/>
          <w:szCs w:val="16"/>
        </w:rPr>
        <w:t xml:space="preserve">2.2.1.1. Que para la toma de decisiones en el comité de riesgos debe contarse con el voto favorable de uno de los miembros independientes. </w:t>
      </w:r>
    </w:p>
    <w:p w:rsidR="00A66B7B" w:rsidRPr="00E96B66" w:rsidP="00F0621B" w14:paraId="2FDCB0D9" w14:textId="77777777">
      <w:pPr>
        <w:rPr>
          <w:rFonts w:cs="Arial"/>
          <w:bCs/>
          <w:sz w:val="12"/>
          <w:szCs w:val="16"/>
        </w:rPr>
      </w:pPr>
    </w:p>
    <w:p w:rsidR="00A66B7B" w:rsidRPr="00E96B66" w:rsidP="00F0621B" w14:paraId="2FDCB0DA" w14:textId="77777777">
      <w:pPr>
        <w:rPr>
          <w:rFonts w:cs="Arial"/>
          <w:bCs/>
          <w:sz w:val="16"/>
          <w:szCs w:val="16"/>
        </w:rPr>
      </w:pPr>
      <w:r w:rsidRPr="00E96B66">
        <w:rPr>
          <w:rFonts w:cs="Arial"/>
          <w:bCs/>
          <w:sz w:val="16"/>
          <w:szCs w:val="16"/>
        </w:rPr>
        <w:t xml:space="preserve">2.2.1.2. Que en las AFPC que hagan parte de un conglomerado financiero, para la toma de decisiones en el comité de inversiones debe contarse con el voto favorable de uno de los miembros independientes. </w:t>
      </w:r>
    </w:p>
    <w:p w:rsidR="00A66B7B" w:rsidRPr="00E96B66" w:rsidP="00F0621B" w14:paraId="2FDCB0DB" w14:textId="77777777">
      <w:pPr>
        <w:rPr>
          <w:rFonts w:cs="Arial"/>
          <w:bCs/>
          <w:sz w:val="16"/>
        </w:rPr>
      </w:pPr>
    </w:p>
    <w:p w:rsidR="00F95B46" w:rsidRPr="00E96B66" w:rsidP="00A66B7B" w14:paraId="09E175B3" w14:textId="77777777">
      <w:pPr>
        <w:rPr>
          <w:rFonts w:cs="Arial"/>
          <w:bCs/>
          <w:sz w:val="16"/>
          <w:szCs w:val="16"/>
        </w:rPr>
      </w:pPr>
      <w:r w:rsidRPr="00E96B66">
        <w:rPr>
          <w:rFonts w:cs="Arial"/>
          <w:bCs/>
          <w:sz w:val="16"/>
          <w:szCs w:val="16"/>
        </w:rPr>
        <w:t xml:space="preserve">2.2.1.3. Que en las AFPC que hagan parte de un conglomerado financiero, el quorum para la toma de decisiones relacionadas con las operaciones que se realicen con entidades que pertenezcan a su mismo conglomerado financiero, debe conformarse con un número de miembros independientes que represente por lo menos el 40% del total de miembros del respectivo comité. </w:t>
      </w:r>
      <w:r w:rsidRPr="00E96B66">
        <w:rPr>
          <w:rFonts w:cs="Arial"/>
          <w:bCs/>
          <w:sz w:val="16"/>
          <w:szCs w:val="16"/>
        </w:rPr>
        <w:t xml:space="preserve"> </w:t>
      </w:r>
    </w:p>
    <w:p w:rsidR="00F95B46" w:rsidRPr="00E96B66" w:rsidP="00A66B7B" w14:paraId="54530DBA" w14:textId="77777777">
      <w:pPr>
        <w:rPr>
          <w:rFonts w:cs="Arial"/>
          <w:bCs/>
          <w:sz w:val="16"/>
          <w:szCs w:val="16"/>
        </w:rPr>
      </w:pPr>
    </w:p>
    <w:p w:rsidR="00A66B7B" w:rsidRPr="00E96B66" w:rsidP="00A66B7B" w14:paraId="2FDCB0DE" w14:textId="296CF72C">
      <w:pPr>
        <w:rPr>
          <w:rFonts w:cs="Arial"/>
          <w:sz w:val="16"/>
          <w:szCs w:val="16"/>
        </w:rPr>
      </w:pPr>
      <w:r w:rsidRPr="00E96B66">
        <w:rPr>
          <w:rFonts w:cs="Arial"/>
          <w:sz w:val="16"/>
          <w:szCs w:val="16"/>
        </w:rPr>
        <w:t xml:space="preserve">Los comités deben sesionar de manera ordinaria por lo menos una vez dentro del respectivo mes calendario, elaborando por cada una de las sesiones su respectiva acta, en donde se evidencien los temas tratados y las decisiones tomadas. </w:t>
      </w:r>
    </w:p>
    <w:p w:rsidR="00A66B7B" w:rsidRPr="00E96B66" w:rsidP="00A66B7B" w14:paraId="2FDCB0DF" w14:textId="77777777">
      <w:pPr>
        <w:pStyle w:val="NormalWeb"/>
        <w:spacing w:before="0" w:beforeAutospacing="0" w:after="0" w:afterAutospacing="0"/>
        <w:jc w:val="both"/>
        <w:rPr>
          <w:rFonts w:ascii="Arial" w:hAnsi="Arial" w:cs="Arial"/>
          <w:color w:val="auto"/>
          <w:sz w:val="12"/>
          <w:szCs w:val="16"/>
        </w:rPr>
      </w:pPr>
    </w:p>
    <w:p w:rsidR="00513EBA" w:rsidRPr="00512403" w:rsidP="003223DF" w14:paraId="2FDCB122" w14:textId="5A68B38E">
      <w:pPr>
        <w:pBdr>
          <w:left w:val="single" w:sz="4" w:space="4" w:color="auto"/>
        </w:pBdr>
        <w:tabs>
          <w:tab w:val="num" w:pos="720"/>
        </w:tabs>
        <w:autoSpaceDE w:val="0"/>
        <w:autoSpaceDN w:val="0"/>
        <w:adjustRightInd w:val="0"/>
        <w:ind w:left="720" w:hanging="720"/>
        <w:rPr>
          <w:rFonts w:eastAsia="Arial Unicode MS" w:cs="Arial"/>
          <w:b/>
          <w:sz w:val="12"/>
          <w:szCs w:val="16"/>
        </w:rPr>
      </w:pPr>
    </w:p>
    <w:p w:rsidR="003223DF" w:rsidRPr="00512403" w:rsidP="003223DF" w14:paraId="7DBD3CCD" w14:textId="5FD28C17">
      <w:pPr>
        <w:pBdr>
          <w:left w:val="single" w:sz="4" w:space="4" w:color="auto"/>
        </w:pBdr>
        <w:tabs>
          <w:tab w:val="num" w:pos="720"/>
        </w:tabs>
        <w:autoSpaceDE w:val="0"/>
        <w:autoSpaceDN w:val="0"/>
        <w:adjustRightInd w:val="0"/>
        <w:ind w:left="720" w:hanging="720"/>
        <w:rPr>
          <w:rFonts w:eastAsia="Arial Unicode MS" w:cs="Arial"/>
          <w:b/>
          <w:sz w:val="12"/>
          <w:szCs w:val="16"/>
        </w:rPr>
      </w:pPr>
    </w:p>
    <w:p w:rsidR="003223DF" w:rsidRPr="00512403" w:rsidP="003223DF" w14:paraId="2B5545DE" w14:textId="498024E0">
      <w:pPr>
        <w:pBdr>
          <w:left w:val="single" w:sz="4" w:space="4" w:color="auto"/>
        </w:pBdr>
        <w:tabs>
          <w:tab w:val="num" w:pos="720"/>
        </w:tabs>
        <w:autoSpaceDE w:val="0"/>
        <w:autoSpaceDN w:val="0"/>
        <w:adjustRightInd w:val="0"/>
        <w:ind w:left="720" w:hanging="720"/>
        <w:rPr>
          <w:rFonts w:eastAsia="Arial Unicode MS" w:cs="Arial"/>
          <w:b/>
          <w:sz w:val="12"/>
          <w:szCs w:val="16"/>
        </w:rPr>
      </w:pPr>
    </w:p>
    <w:p w:rsidR="003223DF" w:rsidRPr="00512403" w:rsidP="003223DF" w14:paraId="54136F1B" w14:textId="5F2F5414">
      <w:pPr>
        <w:pBdr>
          <w:left w:val="single" w:sz="4" w:space="4" w:color="auto"/>
        </w:pBdr>
        <w:tabs>
          <w:tab w:val="num" w:pos="720"/>
        </w:tabs>
        <w:autoSpaceDE w:val="0"/>
        <w:autoSpaceDN w:val="0"/>
        <w:adjustRightInd w:val="0"/>
        <w:ind w:left="720" w:hanging="720"/>
        <w:rPr>
          <w:rFonts w:eastAsia="Arial Unicode MS" w:cs="Arial"/>
          <w:b/>
          <w:sz w:val="12"/>
          <w:szCs w:val="16"/>
        </w:rPr>
      </w:pPr>
    </w:p>
    <w:p w:rsidR="003223DF" w:rsidRPr="00512403" w:rsidP="003223DF" w14:paraId="35B96B44" w14:textId="494164AB">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6CBFD1C7" w14:textId="15DFC172">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P="003223DF" w14:paraId="0DD2CAA9" w14:textId="05DE1A66">
      <w:pPr>
        <w:pBdr>
          <w:left w:val="single" w:sz="4" w:space="4" w:color="auto"/>
        </w:pBdr>
        <w:tabs>
          <w:tab w:val="num" w:pos="720"/>
        </w:tabs>
        <w:autoSpaceDE w:val="0"/>
        <w:autoSpaceDN w:val="0"/>
        <w:adjustRightInd w:val="0"/>
        <w:ind w:left="720" w:hanging="720"/>
        <w:rPr>
          <w:rFonts w:eastAsia="Arial Unicode MS" w:cs="Arial"/>
          <w:b/>
          <w:sz w:val="12"/>
          <w:szCs w:val="16"/>
        </w:rPr>
      </w:pPr>
    </w:p>
    <w:p w:rsidR="007A040A" w:rsidP="003223DF" w14:paraId="34A77054" w14:textId="168D25FA">
      <w:pPr>
        <w:pBdr>
          <w:left w:val="single" w:sz="4" w:space="4" w:color="auto"/>
        </w:pBdr>
        <w:tabs>
          <w:tab w:val="num" w:pos="720"/>
        </w:tabs>
        <w:autoSpaceDE w:val="0"/>
        <w:autoSpaceDN w:val="0"/>
        <w:adjustRightInd w:val="0"/>
        <w:ind w:left="720" w:hanging="720"/>
        <w:rPr>
          <w:rFonts w:eastAsia="Arial Unicode MS" w:cs="Arial"/>
          <w:b/>
          <w:sz w:val="12"/>
          <w:szCs w:val="16"/>
        </w:rPr>
      </w:pPr>
    </w:p>
    <w:p w:rsidR="007A040A" w:rsidRPr="00512403" w:rsidP="003223DF" w14:paraId="3098372E" w14:textId="77777777">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4F564C1F" w14:textId="05777F4B">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545B2016" w14:textId="3107D7AC">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14E9A79F" w14:textId="3F1956E5">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4A27606A" w14:textId="09508171">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708286CB" w14:textId="2C8D74C7">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49C5C198" w14:textId="75D614ED">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30EDB2DF" w14:textId="01CA1D02">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41C7853B" w14:textId="5CC5672A">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1C13A408" w14:textId="0908EA07">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3606CA43" w14:textId="3CCC6401">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08254286" w14:textId="753290C3">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2FE86E12" w14:textId="33CF21B7">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2C4D280A" w14:textId="71BAD59A">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27A1776F" w14:textId="71E6F89F">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44DCCD65" w14:textId="04126697">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50F66601" w14:textId="1179E933">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0CF40240" w14:textId="2F4AE2D1">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516ED3" w14:paraId="426308BE" w14:textId="52795F6D">
      <w:pPr>
        <w:pBdr>
          <w:left w:val="single" w:sz="4" w:space="4" w:color="auto"/>
        </w:pBdr>
        <w:tabs>
          <w:tab w:val="num" w:pos="720"/>
        </w:tabs>
        <w:autoSpaceDE w:val="0"/>
        <w:autoSpaceDN w:val="0"/>
        <w:adjustRightInd w:val="0"/>
        <w:rPr>
          <w:rFonts w:eastAsia="Arial Unicode MS" w:cs="Arial"/>
          <w:b/>
          <w:sz w:val="12"/>
          <w:szCs w:val="16"/>
        </w:rPr>
      </w:pPr>
    </w:p>
    <w:p w:rsidR="001A4EAB" w:rsidRPr="00512403" w:rsidP="003223DF" w14:paraId="154EAD92" w14:textId="380DDA9C">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06885D3B" w14:textId="7EC6C8CA">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3223DF" w14:paraId="2B11FB60" w14:textId="56E61EE1">
      <w:pPr>
        <w:pBdr>
          <w:left w:val="single" w:sz="4" w:space="4" w:color="auto"/>
        </w:pBdr>
        <w:tabs>
          <w:tab w:val="num" w:pos="720"/>
        </w:tabs>
        <w:autoSpaceDE w:val="0"/>
        <w:autoSpaceDN w:val="0"/>
        <w:adjustRightInd w:val="0"/>
        <w:ind w:left="720" w:hanging="720"/>
        <w:rPr>
          <w:rFonts w:eastAsia="Arial Unicode MS" w:cs="Arial"/>
          <w:b/>
          <w:sz w:val="12"/>
          <w:szCs w:val="16"/>
        </w:rPr>
      </w:pPr>
    </w:p>
    <w:p w:rsidR="001A4EAB" w:rsidRPr="00512403" w:rsidP="00D60DAB" w14:paraId="75CE7291" w14:textId="0FBC5937">
      <w:pPr>
        <w:pBdr>
          <w:left w:val="single" w:sz="4" w:space="4" w:color="auto"/>
        </w:pBdr>
        <w:tabs>
          <w:tab w:val="num" w:pos="720"/>
        </w:tabs>
        <w:autoSpaceDE w:val="0"/>
        <w:autoSpaceDN w:val="0"/>
        <w:adjustRightInd w:val="0"/>
        <w:rPr>
          <w:rFonts w:eastAsia="Arial Unicode MS" w:cs="Arial"/>
          <w:b/>
          <w:sz w:val="12"/>
          <w:szCs w:val="16"/>
        </w:rPr>
      </w:pPr>
    </w:p>
    <w:p w:rsidR="001A4EAB" w:rsidRPr="00512403" w:rsidP="003223DF" w14:paraId="02010FEB" w14:textId="77777777">
      <w:pPr>
        <w:pBdr>
          <w:left w:val="single" w:sz="4" w:space="4" w:color="auto"/>
        </w:pBdr>
        <w:tabs>
          <w:tab w:val="num" w:pos="720"/>
        </w:tabs>
        <w:autoSpaceDE w:val="0"/>
        <w:autoSpaceDN w:val="0"/>
        <w:adjustRightInd w:val="0"/>
        <w:ind w:left="720" w:hanging="720"/>
        <w:rPr>
          <w:rFonts w:eastAsia="Arial Unicode MS" w:cs="Arial"/>
          <w:b/>
          <w:sz w:val="12"/>
          <w:szCs w:val="16"/>
        </w:rPr>
      </w:pPr>
    </w:p>
    <w:p w:rsidR="00513EBA" w:rsidRPr="00512403" w:rsidP="00513EBA" w14:paraId="2FDCB123" w14:textId="77777777">
      <w:pPr>
        <w:pStyle w:val="Heading2"/>
        <w:spacing w:before="0" w:after="0"/>
        <w:rPr>
          <w:bCs w:val="0"/>
        </w:rPr>
      </w:pPr>
      <w:bookmarkStart w:id="2" w:name="_Toc267211381"/>
      <w:r w:rsidRPr="00512403">
        <w:rPr>
          <w:bCs w:val="0"/>
        </w:rPr>
        <w:t>2.3. Asignación estratégica de activos</w:t>
      </w:r>
      <w:bookmarkEnd w:id="2"/>
    </w:p>
    <w:p w:rsidR="00513EBA" w:rsidRPr="00512403" w:rsidP="00513EBA" w14:paraId="2FDCB124" w14:textId="77777777">
      <w:pPr>
        <w:keepNext/>
        <w:rPr>
          <w:rFonts w:cs="Arial"/>
          <w:b/>
          <w:bCs/>
          <w:sz w:val="12"/>
          <w:szCs w:val="16"/>
        </w:rPr>
      </w:pPr>
    </w:p>
    <w:p w:rsidR="00513EBA" w:rsidRPr="00512403" w:rsidP="00513EBA" w14:paraId="2FDCB125" w14:textId="77777777">
      <w:pPr>
        <w:keepNext/>
        <w:rPr>
          <w:rFonts w:eastAsia="Arial Unicode MS" w:cs="Arial"/>
          <w:sz w:val="16"/>
          <w:szCs w:val="16"/>
        </w:rPr>
      </w:pPr>
      <w:r w:rsidRPr="00512403">
        <w:rPr>
          <w:rFonts w:cs="Arial"/>
          <w:bCs/>
          <w:sz w:val="16"/>
          <w:szCs w:val="16"/>
        </w:rPr>
        <w:t xml:space="preserve">2.3.1. Contenido mínimo </w:t>
      </w:r>
    </w:p>
    <w:p w:rsidR="00513EBA" w:rsidRPr="00512403" w:rsidP="00513EBA" w14:paraId="2FDCB126" w14:textId="77777777">
      <w:pPr>
        <w:tabs>
          <w:tab w:val="num" w:pos="720"/>
        </w:tabs>
        <w:autoSpaceDE w:val="0"/>
        <w:autoSpaceDN w:val="0"/>
        <w:adjustRightInd w:val="0"/>
        <w:ind w:left="720" w:hanging="720"/>
        <w:rPr>
          <w:rFonts w:eastAsia="Arial Unicode MS" w:cs="Arial"/>
          <w:b/>
          <w:sz w:val="12"/>
          <w:szCs w:val="16"/>
        </w:rPr>
      </w:pPr>
    </w:p>
    <w:p w:rsidR="00513EBA" w:rsidRPr="00512403" w:rsidP="00513EBA" w14:paraId="2FDCB127" w14:textId="77777777">
      <w:pPr>
        <w:keepNext/>
        <w:rPr>
          <w:rFonts w:cs="Arial"/>
          <w:bCs/>
          <w:sz w:val="16"/>
          <w:szCs w:val="16"/>
        </w:rPr>
      </w:pPr>
      <w:r w:rsidRPr="00512403">
        <w:rPr>
          <w:rFonts w:cs="Arial"/>
          <w:bCs/>
          <w:sz w:val="16"/>
          <w:szCs w:val="16"/>
        </w:rPr>
        <w:t>Las AFPC deben establecer anualmente la asignación estratégica de activos para cada tipo de fondo de pensiones obligatorias y para el portafolio de largo plazo del fondo de cesantía. Esta asignación estratégica de activos se debe establecer en relación a las clases de activos definidos por el comité de inversiones de cada AFPC.</w:t>
      </w:r>
    </w:p>
    <w:p w:rsidR="00513EBA" w:rsidRPr="00512403" w:rsidP="00513EBA" w14:paraId="2FDCB128" w14:textId="77777777">
      <w:pPr>
        <w:keepNext/>
        <w:rPr>
          <w:rFonts w:cs="Arial"/>
          <w:bCs/>
          <w:sz w:val="12"/>
          <w:szCs w:val="16"/>
        </w:rPr>
      </w:pPr>
    </w:p>
    <w:p w:rsidR="00513EBA" w:rsidRPr="00512403" w:rsidP="00513EBA" w14:paraId="2FDCB129" w14:textId="77777777">
      <w:pPr>
        <w:keepNext/>
        <w:rPr>
          <w:rFonts w:cs="Arial"/>
          <w:bCs/>
          <w:sz w:val="16"/>
          <w:szCs w:val="16"/>
        </w:rPr>
      </w:pPr>
      <w:r w:rsidRPr="00512403">
        <w:rPr>
          <w:rFonts w:cs="Arial"/>
          <w:bCs/>
          <w:sz w:val="16"/>
          <w:szCs w:val="16"/>
        </w:rPr>
        <w:t>Dicha asignación, y cada modificación que se efectúe a la misma, debe ser remitida a la SFC junto con el extracto del acta de la junta directiva en la cual se aprobó, y la tabla relacionada en el subnumeral 2.3.1.2, dentro de los 3 días hábiles siguientes a su aprobación. Para tal efecto se debe tener en cuenta, por lo menos, lo siguiente:</w:t>
      </w:r>
    </w:p>
    <w:p w:rsidR="00513EBA" w:rsidRPr="00512403" w:rsidP="00513EBA" w14:paraId="2FDCB12A" w14:textId="77777777">
      <w:pPr>
        <w:tabs>
          <w:tab w:val="num" w:pos="720"/>
        </w:tabs>
        <w:autoSpaceDE w:val="0"/>
        <w:autoSpaceDN w:val="0"/>
        <w:adjustRightInd w:val="0"/>
        <w:ind w:left="720" w:hanging="720"/>
        <w:rPr>
          <w:rFonts w:cs="Arial"/>
          <w:b/>
          <w:sz w:val="12"/>
          <w:szCs w:val="16"/>
        </w:rPr>
      </w:pPr>
    </w:p>
    <w:p w:rsidR="00513EBA" w:rsidRPr="00512403" w:rsidP="00513EBA" w14:paraId="2FDCB12B" w14:textId="77777777">
      <w:pPr>
        <w:rPr>
          <w:rFonts w:cs="Arial"/>
          <w:sz w:val="16"/>
          <w:szCs w:val="16"/>
        </w:rPr>
      </w:pPr>
      <w:r w:rsidRPr="00512403">
        <w:rPr>
          <w:rFonts w:cs="Arial"/>
          <w:sz w:val="16"/>
          <w:szCs w:val="16"/>
        </w:rPr>
        <w:t>2.3.1.1. Parámetros generales utilizados en la asignación estratégica de activos</w:t>
      </w:r>
    </w:p>
    <w:p w:rsidR="00513EBA" w:rsidRPr="00512403" w:rsidP="00513EBA" w14:paraId="2FDCB12C" w14:textId="24113CED">
      <w:pPr>
        <w:rPr>
          <w:rFonts w:cs="Arial"/>
          <w:b/>
          <w:sz w:val="16"/>
          <w:szCs w:val="16"/>
        </w:rPr>
      </w:pPr>
      <w:r w:rsidRPr="00512403">
        <w:rPr>
          <w:rFonts w:cs="Arial"/>
          <w:b/>
          <w:sz w:val="16"/>
          <w:szCs w:val="16"/>
        </w:rPr>
        <w:t xml:space="preserve"> </w:t>
      </w:r>
    </w:p>
    <w:p w:rsidR="00513EBA" w:rsidRPr="00512403" w:rsidP="00513EBA" w14:paraId="2FDCB12D" w14:textId="076D67C2">
      <w:pPr>
        <w:autoSpaceDE w:val="0"/>
        <w:autoSpaceDN w:val="0"/>
        <w:adjustRightInd w:val="0"/>
        <w:rPr>
          <w:rFonts w:cs="Arial"/>
          <w:sz w:val="16"/>
          <w:szCs w:val="16"/>
        </w:rPr>
      </w:pPr>
      <w:r w:rsidRPr="00512403">
        <w:rPr>
          <w:rFonts w:cs="Arial"/>
          <w:sz w:val="16"/>
          <w:szCs w:val="16"/>
        </w:rPr>
        <w:t xml:space="preserve">2.3.1.1.1. Horizonte de inversión que se tuvo en cuenta para cada tipo de fondo de pensiones obligatorias y para el portafolio de largo plazo del fondo de cesantía, y los argumentos considerados para establecerlo. </w:t>
      </w:r>
    </w:p>
    <w:p w:rsidR="00D60DAB" w:rsidRPr="00512403" w:rsidP="00513EBA" w14:paraId="55382E72" w14:textId="77777777">
      <w:pPr>
        <w:autoSpaceDE w:val="0"/>
        <w:autoSpaceDN w:val="0"/>
        <w:adjustRightInd w:val="0"/>
        <w:rPr>
          <w:rFonts w:cs="Arial"/>
          <w:sz w:val="16"/>
          <w:szCs w:val="16"/>
        </w:rPr>
        <w:sectPr w:rsidSect="00572D8C">
          <w:footerReference w:type="default" r:id="rId11"/>
          <w:pgSz w:w="12242" w:h="20163" w:code="120"/>
          <w:pgMar w:top="1418" w:right="1469" w:bottom="1418" w:left="1701" w:header="1134" w:footer="1134" w:gutter="0"/>
          <w:pgNumType w:start="4"/>
          <w:cols w:space="708"/>
          <w:docGrid w:linePitch="360"/>
        </w:sectPr>
      </w:pPr>
    </w:p>
    <w:p w:rsidR="00D60DAB" w:rsidRPr="00512403" w:rsidP="00513EBA" w14:paraId="0B32275D" w14:textId="1E1CE2DE">
      <w:pPr>
        <w:autoSpaceDE w:val="0"/>
        <w:autoSpaceDN w:val="0"/>
        <w:adjustRightInd w:val="0"/>
        <w:rPr>
          <w:rFonts w:cs="Arial"/>
          <w:sz w:val="16"/>
          <w:szCs w:val="16"/>
        </w:rPr>
      </w:pPr>
    </w:p>
    <w:p w:rsidR="00D676DD" w:rsidRPr="00512403" w:rsidP="0068273A" w14:paraId="2FDCB192" w14:textId="0497EB21">
      <w:pPr>
        <w:pStyle w:val="ListParagraph1"/>
        <w:pBdr>
          <w:left w:val="none" w:sz="0" w:space="0" w:color="auto"/>
        </w:pBdr>
        <w:tabs>
          <w:tab w:val="left" w:pos="1005"/>
        </w:tabs>
        <w:autoSpaceDE w:val="0"/>
        <w:autoSpaceDN w:val="0"/>
        <w:adjustRightInd w:val="0"/>
        <w:ind w:left="0"/>
        <w:rPr>
          <w:b w:val="0"/>
          <w:sz w:val="16"/>
          <w:szCs w:val="16"/>
        </w:rPr>
      </w:pPr>
      <w:r w:rsidRPr="00512403">
        <w:rPr>
          <w:b w:val="0"/>
          <w:sz w:val="16"/>
          <w:szCs w:val="16"/>
        </w:rPr>
        <w:t>3.1.9.1. Criterios para identificar potenciales conflictos de interés, derivados de la función de administrador de recursos de terceros con acceso a información privilegiada.</w:t>
      </w:r>
    </w:p>
    <w:p w:rsidR="00D676DD" w:rsidRPr="00512403" w:rsidP="0068273A" w14:paraId="2FDCB193" w14:textId="77777777">
      <w:pPr>
        <w:pStyle w:val="ListParagraph1"/>
        <w:pBdr>
          <w:left w:val="none" w:sz="0" w:space="0" w:color="auto"/>
        </w:pBdr>
        <w:tabs>
          <w:tab w:val="left" w:pos="1005"/>
        </w:tabs>
        <w:autoSpaceDE w:val="0"/>
        <w:autoSpaceDN w:val="0"/>
        <w:adjustRightInd w:val="0"/>
        <w:ind w:left="0"/>
        <w:rPr>
          <w:b w:val="0"/>
          <w:sz w:val="16"/>
          <w:szCs w:val="16"/>
        </w:rPr>
      </w:pPr>
    </w:p>
    <w:p w:rsidR="00D676DD" w:rsidRPr="00512403" w:rsidP="0068273A" w14:paraId="2FDCB194" w14:textId="77777777">
      <w:pPr>
        <w:pStyle w:val="ListParagraph1"/>
        <w:pBdr>
          <w:left w:val="none" w:sz="0" w:space="0" w:color="auto"/>
        </w:pBdr>
        <w:tabs>
          <w:tab w:val="left" w:pos="1005"/>
        </w:tabs>
        <w:autoSpaceDE w:val="0"/>
        <w:autoSpaceDN w:val="0"/>
        <w:adjustRightInd w:val="0"/>
        <w:ind w:left="0"/>
        <w:rPr>
          <w:b w:val="0"/>
          <w:sz w:val="16"/>
          <w:szCs w:val="16"/>
        </w:rPr>
      </w:pPr>
      <w:r w:rsidRPr="00512403">
        <w:rPr>
          <w:b w:val="0"/>
          <w:sz w:val="16"/>
          <w:szCs w:val="16"/>
        </w:rPr>
        <w:t>3.1.9.2. Criterios para evitar incurrir en situaciones que puedan dar lugar a conflictos de interés y que puedan afectar el ejercicio de los derechos políticos, protegiendo en todo evento los intereses de los afiliados a la AFPC.</w:t>
      </w:r>
    </w:p>
    <w:p w:rsidR="00D676DD" w:rsidRPr="00512403" w:rsidP="0068273A" w14:paraId="2FDCB195" w14:textId="77777777">
      <w:pPr>
        <w:pStyle w:val="ListParagraph1"/>
        <w:pBdr>
          <w:left w:val="none" w:sz="0" w:space="0" w:color="auto"/>
        </w:pBdr>
        <w:tabs>
          <w:tab w:val="left" w:pos="1005"/>
        </w:tabs>
        <w:ind w:left="0"/>
        <w:rPr>
          <w:b w:val="0"/>
          <w:sz w:val="16"/>
          <w:szCs w:val="16"/>
        </w:rPr>
      </w:pPr>
    </w:p>
    <w:p w:rsidR="00D676DD" w:rsidRPr="00512403" w:rsidP="0068273A" w14:paraId="2FDCB196" w14:textId="77777777">
      <w:pPr>
        <w:pStyle w:val="ListParagraph1"/>
        <w:pBdr>
          <w:left w:val="none" w:sz="0" w:space="0" w:color="auto"/>
        </w:pBdr>
        <w:tabs>
          <w:tab w:val="left" w:pos="1005"/>
        </w:tabs>
        <w:ind w:left="0"/>
        <w:rPr>
          <w:b w:val="0"/>
          <w:sz w:val="16"/>
          <w:szCs w:val="16"/>
        </w:rPr>
      </w:pPr>
      <w:r w:rsidRPr="00512403">
        <w:rPr>
          <w:b w:val="0"/>
          <w:sz w:val="16"/>
          <w:szCs w:val="16"/>
        </w:rPr>
        <w:t>3.1.9.3. Procedimientos y normas de control interno que eviten la ocurrencia de conflictos de interés que puedan afectar a la AFPC, sus administradores, gerentes, ejecutivos principales.</w:t>
      </w:r>
    </w:p>
    <w:p w:rsidR="00D676DD" w:rsidRPr="00512403" w:rsidP="0068273A" w14:paraId="2FDCB197" w14:textId="77777777">
      <w:pPr>
        <w:pStyle w:val="ListParagraph1"/>
        <w:pBdr>
          <w:left w:val="none" w:sz="0" w:space="0" w:color="auto"/>
        </w:pBdr>
        <w:tabs>
          <w:tab w:val="left" w:pos="1005"/>
        </w:tabs>
        <w:ind w:left="0"/>
        <w:rPr>
          <w:b w:val="0"/>
          <w:sz w:val="16"/>
          <w:szCs w:val="16"/>
        </w:rPr>
      </w:pPr>
    </w:p>
    <w:p w:rsidR="00D676DD" w:rsidRPr="00512403" w:rsidP="0068273A" w14:paraId="2FDCB198" w14:textId="77777777">
      <w:pPr>
        <w:pStyle w:val="ListParagraph1"/>
        <w:pBdr>
          <w:left w:val="none" w:sz="0" w:space="0" w:color="auto"/>
        </w:pBdr>
        <w:tabs>
          <w:tab w:val="left" w:pos="1005"/>
        </w:tabs>
        <w:ind w:left="0"/>
        <w:rPr>
          <w:b w:val="0"/>
          <w:sz w:val="16"/>
          <w:szCs w:val="16"/>
        </w:rPr>
      </w:pPr>
      <w:r w:rsidRPr="00512403">
        <w:rPr>
          <w:b w:val="0"/>
          <w:sz w:val="16"/>
          <w:szCs w:val="16"/>
        </w:rPr>
        <w:t>3.1.9.4. Procedimientos y normas de control interno sobre situaciones de uso de información privilegiada respecto de cualquier funcionario que, en razón de su cargo o posición, tenga acceso a información de las inversiones de una AFPC que aún no haya sido divulgada al mercado, y que por su naturaleza sea capaz de influir en las cotizaciones de los valores de dichas inversiones.</w:t>
      </w:r>
    </w:p>
    <w:p w:rsidR="00D676DD" w:rsidRPr="00512403" w:rsidP="0068273A" w14:paraId="2FDCB199" w14:textId="77777777">
      <w:pPr>
        <w:rPr>
          <w:b/>
          <w:sz w:val="16"/>
          <w:szCs w:val="16"/>
        </w:rPr>
      </w:pPr>
    </w:p>
    <w:p w:rsidR="00D676DD" w:rsidRPr="00512403" w:rsidP="0068273A" w14:paraId="2FDCB19A" w14:textId="77777777">
      <w:pPr>
        <w:rPr>
          <w:sz w:val="16"/>
          <w:szCs w:val="16"/>
        </w:rPr>
      </w:pPr>
      <w:r w:rsidRPr="00512403">
        <w:rPr>
          <w:sz w:val="16"/>
          <w:szCs w:val="16"/>
        </w:rPr>
        <w:t>3.1.10. Acuerdos de accionistas y convenios con inversionistas</w:t>
      </w:r>
    </w:p>
    <w:p w:rsidR="00D676DD" w:rsidRPr="00512403" w:rsidP="0068273A" w14:paraId="2FDCB19B" w14:textId="77777777">
      <w:pPr>
        <w:rPr>
          <w:b/>
          <w:sz w:val="16"/>
          <w:szCs w:val="16"/>
        </w:rPr>
      </w:pPr>
    </w:p>
    <w:p w:rsidR="00D676DD" w:rsidRPr="00512403" w:rsidP="0068273A" w14:paraId="2FDCB19C" w14:textId="5FD7A99A">
      <w:pPr>
        <w:rPr>
          <w:sz w:val="16"/>
          <w:szCs w:val="16"/>
        </w:rPr>
      </w:pPr>
      <w:r w:rsidRPr="00512403">
        <w:rPr>
          <w:sz w:val="16"/>
          <w:szCs w:val="16"/>
        </w:rPr>
        <w:t xml:space="preserve">De conformidad con lo previsto en el art. 2.6.13.1.3 del Decreto 2555 de 2010, los acuerdos o convenios de accionistas suscritos para el ejercicio de los derechos políticos deben </w:t>
      </w:r>
      <w:r w:rsidRPr="00512403" w:rsidR="000D0C03">
        <w:rPr>
          <w:sz w:val="16"/>
          <w:szCs w:val="16"/>
        </w:rPr>
        <w:t>enmarcarse en</w:t>
      </w:r>
      <w:r w:rsidRPr="00512403">
        <w:rPr>
          <w:sz w:val="16"/>
          <w:szCs w:val="16"/>
        </w:rPr>
        <w:t xml:space="preserve"> los principios de transparencia e integridad del mercado. </w:t>
      </w:r>
    </w:p>
    <w:p w:rsidR="00D676DD" w:rsidRPr="00512403" w:rsidP="0068273A" w14:paraId="2FDCB19D" w14:textId="77777777">
      <w:pPr>
        <w:rPr>
          <w:sz w:val="16"/>
          <w:szCs w:val="16"/>
        </w:rPr>
      </w:pPr>
    </w:p>
    <w:p w:rsidR="00D676DD" w:rsidRPr="00512403" w:rsidP="0068273A" w14:paraId="2FDCB19E" w14:textId="77777777">
      <w:pPr>
        <w:rPr>
          <w:sz w:val="16"/>
          <w:szCs w:val="16"/>
        </w:rPr>
      </w:pPr>
      <w:r w:rsidRPr="00512403">
        <w:rPr>
          <w:sz w:val="16"/>
          <w:szCs w:val="16"/>
        </w:rPr>
        <w:t xml:space="preserve">Dichos acuerdos deben tener como objetivo fortalecer el gobierno corporativo del receptor de la inversión y, adicionalmente, deben sujetarse en su contenido y revelación a lo dispuesto en los arts. </w:t>
      </w:r>
      <w:r w:rsidRPr="00512403" w:rsidR="008F73A2">
        <w:rPr>
          <w:sz w:val="16"/>
          <w:szCs w:val="16"/>
        </w:rPr>
        <w:t>70 de la Ley 222 de 1995 y 43 de la Ley 964 de 2005.</w:t>
      </w:r>
      <w:r w:rsidRPr="00512403" w:rsidR="008F73A2">
        <w:rPr>
          <w:sz w:val="16"/>
          <w:szCs w:val="16"/>
        </w:rPr>
        <w:t xml:space="preserve"> </w:t>
      </w:r>
    </w:p>
    <w:p w:rsidR="00D676DD" w:rsidRPr="00512403" w:rsidP="0068273A" w14:paraId="2FDCB19F" w14:textId="77777777">
      <w:pPr>
        <w:rPr>
          <w:sz w:val="16"/>
          <w:szCs w:val="16"/>
        </w:rPr>
      </w:pPr>
    </w:p>
    <w:p w:rsidR="00D676DD" w:rsidRPr="00512403" w:rsidP="0068273A" w14:paraId="2FDCB1A0" w14:textId="77777777">
      <w:pPr>
        <w:rPr>
          <w:sz w:val="16"/>
          <w:szCs w:val="16"/>
        </w:rPr>
      </w:pPr>
      <w:r w:rsidRPr="00512403">
        <w:rPr>
          <w:sz w:val="16"/>
          <w:szCs w:val="16"/>
        </w:rPr>
        <w:t xml:space="preserve">Los acuerdos o convenios de accionistas en que sólo participen AFPC no puede dar lugar a ejercer el control sobre la receptora de la inversión. </w:t>
      </w:r>
    </w:p>
    <w:p w:rsidR="00D676DD" w:rsidRPr="00512403" w:rsidP="0068273A" w14:paraId="2FDCB1A1" w14:textId="77777777">
      <w:pPr>
        <w:rPr>
          <w:sz w:val="16"/>
          <w:szCs w:val="16"/>
        </w:rPr>
      </w:pPr>
    </w:p>
    <w:p w:rsidR="00D676DD" w:rsidRPr="00512403" w:rsidP="0068273A" w14:paraId="2FDCB1A2" w14:textId="77777777">
      <w:pPr>
        <w:rPr>
          <w:sz w:val="16"/>
          <w:szCs w:val="16"/>
        </w:rPr>
      </w:pPr>
      <w:r w:rsidRPr="00512403">
        <w:rPr>
          <w:sz w:val="16"/>
          <w:szCs w:val="16"/>
        </w:rPr>
        <w:t xml:space="preserve">Aquellos acuerdos que sean suscritos con accionistas diferentes a una AFPC, si están dirigidos a obtener participaciones de control, deben excluir la posibilidad de que la AFPC participe o tenga injerencia en la administración del receptor de la inversión. </w:t>
      </w:r>
    </w:p>
    <w:p w:rsidR="00D676DD" w:rsidRPr="00512403" w:rsidP="0068273A" w14:paraId="2FDCB1A3" w14:textId="77777777">
      <w:pPr>
        <w:rPr>
          <w:sz w:val="16"/>
          <w:szCs w:val="16"/>
        </w:rPr>
      </w:pPr>
    </w:p>
    <w:p w:rsidR="00D676DD" w:rsidRPr="00512403" w:rsidP="0068273A" w14:paraId="2FDCB1A4" w14:textId="77777777">
      <w:pPr>
        <w:rPr>
          <w:sz w:val="16"/>
          <w:szCs w:val="16"/>
        </w:rPr>
      </w:pPr>
      <w:r w:rsidRPr="00512403">
        <w:rPr>
          <w:sz w:val="16"/>
          <w:szCs w:val="16"/>
        </w:rPr>
        <w:t>En todo caso, ningún acuerdo debe contener cláusulas que conlleven vulneración de los derechos de los accionistas minoritarios y de las normas legales aplicables en materia de conflictos de interés, régimen de competencia y manipulación del mercado.</w:t>
      </w:r>
    </w:p>
    <w:p w:rsidR="00D676DD" w:rsidRPr="00512403" w:rsidP="0068273A" w14:paraId="2FDCB1A5" w14:textId="77777777">
      <w:pPr>
        <w:rPr>
          <w:sz w:val="16"/>
          <w:szCs w:val="16"/>
        </w:rPr>
      </w:pPr>
    </w:p>
    <w:p w:rsidR="00D676DD" w:rsidRPr="00512403" w:rsidP="0068273A" w14:paraId="2FDCB1A6" w14:textId="77777777">
      <w:pPr>
        <w:rPr>
          <w:sz w:val="16"/>
          <w:szCs w:val="16"/>
        </w:rPr>
      </w:pPr>
      <w:r w:rsidRPr="00512403">
        <w:rPr>
          <w:sz w:val="16"/>
          <w:szCs w:val="16"/>
        </w:rPr>
        <w:t>Estos acuerdos o convenios deben remitirse de forma inmediata a su suscripción a la SFC, precisando en la comunicación de envío las reuniones de asamblea en donde se tiene dispuesta su aplicación.</w:t>
      </w:r>
    </w:p>
    <w:p w:rsidR="00D676DD" w:rsidRPr="00512403" w:rsidP="0068273A" w14:paraId="2FDCB1A7" w14:textId="77777777">
      <w:pPr>
        <w:rPr>
          <w:sz w:val="16"/>
          <w:szCs w:val="16"/>
        </w:rPr>
      </w:pPr>
    </w:p>
    <w:p w:rsidR="00D676DD" w:rsidRPr="00512403" w:rsidP="0068273A" w14:paraId="2FDCB1A8" w14:textId="77777777">
      <w:pPr>
        <w:rPr>
          <w:sz w:val="16"/>
          <w:szCs w:val="16"/>
        </w:rPr>
      </w:pPr>
      <w:r w:rsidRPr="00512403">
        <w:rPr>
          <w:sz w:val="16"/>
          <w:szCs w:val="16"/>
        </w:rPr>
        <w:t xml:space="preserve">Para efectos de lo previsto en el presente numeral debe entenderse por control lo dispuesto en los arts. 260 y 261 del </w:t>
      </w:r>
      <w:r w:rsidRPr="00512403">
        <w:rPr>
          <w:sz w:val="16"/>
          <w:szCs w:val="16"/>
        </w:rPr>
        <w:t>C.Cio</w:t>
      </w:r>
      <w:r w:rsidRPr="00512403">
        <w:rPr>
          <w:sz w:val="16"/>
          <w:szCs w:val="16"/>
        </w:rPr>
        <w:t xml:space="preserve">. </w:t>
      </w:r>
    </w:p>
    <w:p w:rsidR="00D676DD" w:rsidRPr="00512403" w:rsidP="0068273A" w14:paraId="2FDCB1A9" w14:textId="77777777">
      <w:pPr>
        <w:rPr>
          <w:sz w:val="16"/>
          <w:szCs w:val="16"/>
        </w:rPr>
      </w:pPr>
    </w:p>
    <w:p w:rsidR="00D676DD" w:rsidRPr="00512403" w:rsidP="0068273A" w14:paraId="2FDCB1AA" w14:textId="77777777">
      <w:pPr>
        <w:pStyle w:val="ListParagraph1"/>
        <w:pBdr>
          <w:left w:val="none" w:sz="0" w:space="0" w:color="auto"/>
        </w:pBdr>
        <w:ind w:left="0"/>
        <w:rPr>
          <w:b w:val="0"/>
          <w:sz w:val="16"/>
          <w:szCs w:val="16"/>
        </w:rPr>
      </w:pPr>
      <w:r w:rsidRPr="00512403">
        <w:rPr>
          <w:b w:val="0"/>
          <w:sz w:val="16"/>
          <w:szCs w:val="16"/>
        </w:rPr>
        <w:t>3.1.11. Procedimientos para asegurar el cumplimiento de la política</w:t>
      </w:r>
    </w:p>
    <w:p w:rsidR="00D676DD" w:rsidRPr="00512403" w:rsidP="0068273A" w14:paraId="2FDCB1AB" w14:textId="77777777">
      <w:pPr>
        <w:pStyle w:val="ListParagraph1"/>
        <w:pBdr>
          <w:left w:val="none" w:sz="0" w:space="0" w:color="auto"/>
        </w:pBdr>
        <w:ind w:left="0"/>
        <w:rPr>
          <w:b w:val="0"/>
          <w:sz w:val="16"/>
          <w:szCs w:val="16"/>
        </w:rPr>
      </w:pPr>
    </w:p>
    <w:p w:rsidR="00D676DD" w:rsidRPr="00512403" w:rsidP="0068273A" w14:paraId="2FDCB1AC" w14:textId="77777777">
      <w:pPr>
        <w:pStyle w:val="ListParagraph1"/>
        <w:pBdr>
          <w:left w:val="none" w:sz="0" w:space="0" w:color="auto"/>
        </w:pBdr>
        <w:ind w:left="0"/>
        <w:rPr>
          <w:b w:val="0"/>
          <w:sz w:val="16"/>
          <w:szCs w:val="16"/>
        </w:rPr>
      </w:pPr>
      <w:r w:rsidRPr="00512403">
        <w:rPr>
          <w:b w:val="0"/>
          <w:sz w:val="16"/>
          <w:szCs w:val="16"/>
        </w:rPr>
        <w:t>Las AFPC deben diseñar, implementar y documentar los procedimientos necesarios para controlar el cumplimiento del contenido de la política de ejercicio de derechos políticos respecto de las inversiones que realicen con los recursos de los fondos de pensiones obligatorias y de cesantía.</w:t>
      </w:r>
    </w:p>
    <w:p w:rsidR="00D676DD" w:rsidRPr="00512403" w:rsidP="0068273A" w14:paraId="2FDCB1AD" w14:textId="77777777">
      <w:pPr>
        <w:pStyle w:val="ListParagraph1"/>
        <w:pBdr>
          <w:left w:val="none" w:sz="0" w:space="0" w:color="auto"/>
        </w:pBdr>
        <w:ind w:left="0"/>
        <w:rPr>
          <w:b w:val="0"/>
          <w:sz w:val="16"/>
          <w:szCs w:val="16"/>
        </w:rPr>
      </w:pPr>
    </w:p>
    <w:p w:rsidR="00D676DD" w:rsidRPr="00512403" w:rsidP="0068273A" w14:paraId="2FDCB1AE" w14:textId="77777777">
      <w:pPr>
        <w:pStyle w:val="Heading2"/>
        <w:spacing w:before="0" w:after="0"/>
      </w:pPr>
      <w:bookmarkStart w:id="3" w:name="_Toc267211384"/>
      <w:r w:rsidRPr="00512403">
        <w:t>3.2. Divulgación</w:t>
      </w:r>
      <w:bookmarkEnd w:id="3"/>
    </w:p>
    <w:p w:rsidR="00D676DD" w:rsidRPr="00512403" w:rsidP="0068273A" w14:paraId="2FDCB1AF" w14:textId="77777777">
      <w:pPr>
        <w:rPr>
          <w:sz w:val="16"/>
          <w:szCs w:val="16"/>
        </w:rPr>
      </w:pPr>
    </w:p>
    <w:p w:rsidR="00D676DD" w:rsidRPr="00512403" w:rsidP="0068273A" w14:paraId="2FDCB1B0" w14:textId="77777777">
      <w:pPr>
        <w:rPr>
          <w:sz w:val="16"/>
          <w:szCs w:val="16"/>
        </w:rPr>
      </w:pPr>
      <w:r w:rsidRPr="00512403">
        <w:rPr>
          <w:sz w:val="16"/>
          <w:szCs w:val="16"/>
        </w:rPr>
        <w:t>La difusión de la política de ejercicio de derechos políticos, en su versión completa, debe efectuarse a través de la página de internet de las AFPC. Adicionalmente, deben señalar, en el panel de información al público ubicado en sus oficinas, la existencia y disponibilidad de una copia de tales políticas para su consulta. Lo anterior, sin perjuicio de otras formas de difusión que la AFPC estime pertinentes.</w:t>
      </w:r>
    </w:p>
    <w:p w:rsidR="00D676DD" w:rsidRPr="00512403" w:rsidP="0068273A" w14:paraId="2FDCB1B1" w14:textId="77777777">
      <w:pPr>
        <w:rPr>
          <w:sz w:val="16"/>
          <w:szCs w:val="16"/>
        </w:rPr>
      </w:pPr>
    </w:p>
    <w:p w:rsidR="00D676DD" w:rsidRPr="00512403" w:rsidP="0068273A" w14:paraId="2FDCB1B2" w14:textId="77777777">
      <w:pPr>
        <w:rPr>
          <w:sz w:val="16"/>
          <w:szCs w:val="16"/>
        </w:rPr>
      </w:pPr>
      <w:r w:rsidRPr="00512403">
        <w:rPr>
          <w:sz w:val="16"/>
          <w:szCs w:val="16"/>
        </w:rPr>
        <w:t>Las AFPC pueden elaborar un extracto o síntesis de la política de ejercicio de derechos políticos para su difusión a través de otros medios, cautelando que sus contenidos sean lo suficientemente claros y completos en todo aquello que deba constituir información indispensable para que las personas adopten sus decisiones de selección de la AFPC en forma ilustrada, particularmente en lo referente a los factores que incidan en la rentabilidad y riesgo de sus decisiones de inversión.</w:t>
      </w:r>
    </w:p>
    <w:p w:rsidR="00D676DD" w:rsidRPr="00512403" w:rsidP="0068273A" w14:paraId="2FDCB1B3" w14:textId="77777777">
      <w:pPr>
        <w:rPr>
          <w:sz w:val="16"/>
          <w:szCs w:val="16"/>
        </w:rPr>
      </w:pPr>
    </w:p>
    <w:p w:rsidR="00D676DD" w:rsidRPr="00512403" w:rsidP="0068273A" w14:paraId="2FDCB1B4" w14:textId="77777777">
      <w:pPr>
        <w:pStyle w:val="Heading2"/>
        <w:spacing w:before="0" w:after="0"/>
      </w:pPr>
      <w:bookmarkStart w:id="4" w:name="_Toc267211385"/>
      <w:r w:rsidRPr="00512403">
        <w:t>3.3. Revisión periódica</w:t>
      </w:r>
      <w:bookmarkEnd w:id="4"/>
    </w:p>
    <w:p w:rsidR="00D676DD" w:rsidRPr="00512403" w:rsidP="0068273A" w14:paraId="2FDCB1B5" w14:textId="77777777">
      <w:pPr>
        <w:rPr>
          <w:sz w:val="16"/>
          <w:szCs w:val="16"/>
        </w:rPr>
      </w:pPr>
    </w:p>
    <w:p w:rsidR="00D676DD" w:rsidRPr="00512403" w:rsidP="0068273A" w14:paraId="2FDCB1B6" w14:textId="77777777">
      <w:pPr>
        <w:rPr>
          <w:sz w:val="16"/>
          <w:szCs w:val="16"/>
        </w:rPr>
      </w:pPr>
      <w:r w:rsidRPr="00512403">
        <w:rPr>
          <w:sz w:val="16"/>
          <w:szCs w:val="16"/>
        </w:rPr>
        <w:t>La junta directiva de cada AFPC debe revisar, por lo menos, anualmente la política para el ejercicio de los derechos políticos que haya adoptado y, en caso de que sea modificada, debe divulgarse a los diferentes grupos de interés, a través de los medios indicados en el subnumeral anterior.</w:t>
      </w:r>
    </w:p>
    <w:p w:rsidR="00D676DD" w:rsidRPr="00512403" w:rsidP="0068273A" w14:paraId="2FDCB1B7" w14:textId="41979964">
      <w:pPr>
        <w:rPr>
          <w:b/>
          <w:sz w:val="16"/>
          <w:szCs w:val="16"/>
        </w:rPr>
      </w:pPr>
    </w:p>
    <w:p w:rsidR="007C42DA" w:rsidRPr="00512403" w:rsidP="0068273A" w14:paraId="6FE46C10" w14:textId="77777777">
      <w:pPr>
        <w:rPr>
          <w:b/>
          <w:sz w:val="16"/>
          <w:szCs w:val="16"/>
        </w:rPr>
      </w:pPr>
    </w:p>
    <w:p w:rsidR="00C07B7F" w:rsidRPr="00512403" w:rsidP="00F0621B" w14:paraId="0B258FC4" w14:textId="7DEA1703">
      <w:pPr>
        <w:pStyle w:val="Heading1"/>
        <w:pBdr>
          <w:left w:val="single" w:sz="4" w:space="1" w:color="auto"/>
        </w:pBdr>
        <w:spacing w:before="0" w:after="0"/>
        <w:rPr>
          <w:caps/>
        </w:rPr>
      </w:pPr>
      <w:r w:rsidRPr="00512403">
        <w:rPr>
          <w:caps/>
        </w:rPr>
        <w:t>4</w:t>
      </w:r>
      <w:r w:rsidRPr="00512403">
        <w:rPr>
          <w:caps/>
        </w:rPr>
        <w:t>. C</w:t>
      </w:r>
      <w:r w:rsidR="009B6FD6">
        <w:rPr>
          <w:caps/>
        </w:rPr>
        <w:t>ó</w:t>
      </w:r>
      <w:r w:rsidRPr="00512403">
        <w:rPr>
          <w:caps/>
        </w:rPr>
        <w:t xml:space="preserve">MPUTO DE LOS </w:t>
      </w:r>
      <w:r w:rsidR="009B6FD6">
        <w:rPr>
          <w:caps/>
        </w:rPr>
        <w:t>lí</w:t>
      </w:r>
      <w:r w:rsidRPr="00512403">
        <w:rPr>
          <w:caps/>
        </w:rPr>
        <w:t>MITES EN INVERSIONES RESTRINGIDAS</w:t>
      </w:r>
    </w:p>
    <w:p w:rsidR="00C07B7F" w:rsidRPr="00512403" w:rsidP="00F0621B" w14:paraId="3B091796" w14:textId="77777777">
      <w:pPr>
        <w:pBdr>
          <w:left w:val="single" w:sz="4" w:space="1" w:color="auto"/>
        </w:pBdr>
      </w:pPr>
    </w:p>
    <w:p w:rsidR="00C07B7F" w:rsidRPr="00512403" w:rsidP="00F0621B" w14:paraId="66DAB6F9" w14:textId="69E58C12">
      <w:pPr>
        <w:pBdr>
          <w:left w:val="single" w:sz="4" w:space="1" w:color="auto"/>
        </w:pBdr>
        <w:rPr>
          <w:b/>
          <w:bCs/>
          <w:sz w:val="16"/>
          <w:szCs w:val="16"/>
        </w:rPr>
      </w:pPr>
      <w:r w:rsidRPr="00512403">
        <w:rPr>
          <w:b/>
          <w:bCs/>
          <w:sz w:val="16"/>
          <w:szCs w:val="16"/>
        </w:rPr>
        <w:t xml:space="preserve">Para el cumplimiento de los </w:t>
      </w:r>
      <w:r w:rsidRPr="00512403" w:rsidR="000233E2">
        <w:rPr>
          <w:b/>
          <w:bCs/>
          <w:sz w:val="16"/>
          <w:szCs w:val="16"/>
        </w:rPr>
        <w:t>límites</w:t>
      </w:r>
      <w:r w:rsidRPr="00512403" w:rsidR="008A3B77">
        <w:rPr>
          <w:b/>
          <w:bCs/>
          <w:sz w:val="16"/>
          <w:szCs w:val="16"/>
        </w:rPr>
        <w:t xml:space="preserve"> de inversión en los activos de que trata </w:t>
      </w:r>
      <w:r w:rsidRPr="00512403" w:rsidR="000233E2">
        <w:rPr>
          <w:b/>
          <w:bCs/>
          <w:sz w:val="16"/>
          <w:szCs w:val="16"/>
        </w:rPr>
        <w:t xml:space="preserve">el artículo 2.6.12.1.25 del Decreto 2555 </w:t>
      </w:r>
      <w:r w:rsidRPr="00512403" w:rsidR="006C0FF2">
        <w:rPr>
          <w:b/>
          <w:bCs/>
          <w:sz w:val="16"/>
          <w:szCs w:val="16"/>
        </w:rPr>
        <w:t xml:space="preserve">de 2010 </w:t>
      </w:r>
      <w:r w:rsidRPr="00512403">
        <w:rPr>
          <w:b/>
          <w:bCs/>
          <w:sz w:val="16"/>
          <w:szCs w:val="16"/>
        </w:rPr>
        <w:t xml:space="preserve">para las inversiones de los </w:t>
      </w:r>
      <w:r w:rsidRPr="00512403" w:rsidR="61036B1E">
        <w:rPr>
          <w:b/>
          <w:bCs/>
          <w:sz w:val="16"/>
          <w:szCs w:val="16"/>
        </w:rPr>
        <w:t xml:space="preserve">recursos de los </w:t>
      </w:r>
      <w:r w:rsidRPr="00512403" w:rsidR="00E57855">
        <w:rPr>
          <w:rFonts w:cs="Arial"/>
          <w:b/>
          <w:bCs/>
          <w:sz w:val="16"/>
          <w:szCs w:val="16"/>
        </w:rPr>
        <w:t>fondos de pensiones obligatorias y de los portafolios del fondo de cesantía</w:t>
      </w:r>
      <w:r w:rsidRPr="00512403" w:rsidR="000B4ACD">
        <w:rPr>
          <w:rFonts w:cs="Arial"/>
          <w:b/>
          <w:bCs/>
          <w:sz w:val="16"/>
          <w:szCs w:val="16"/>
        </w:rPr>
        <w:t>,</w:t>
      </w:r>
      <w:r w:rsidRPr="00512403">
        <w:rPr>
          <w:b/>
          <w:bCs/>
          <w:sz w:val="16"/>
          <w:szCs w:val="16"/>
        </w:rPr>
        <w:t xml:space="preserve"> las AFPC deben mantener actualizada la información respecto de la exposición de los vehículos de inversión a activos considerados como inversiones restringidas.</w:t>
      </w:r>
    </w:p>
    <w:p w:rsidR="00C07B7F" w:rsidRPr="00512403" w:rsidP="00F0621B" w14:paraId="6FAA545B" w14:textId="77777777">
      <w:pPr>
        <w:pBdr>
          <w:left w:val="single" w:sz="4" w:space="1" w:color="auto"/>
        </w:pBdr>
        <w:rPr>
          <w:b/>
          <w:bCs/>
          <w:sz w:val="16"/>
          <w:szCs w:val="16"/>
        </w:rPr>
      </w:pPr>
    </w:p>
    <w:p w:rsidR="00C07B7F" w:rsidRPr="00512403" w:rsidP="00F0621B" w14:paraId="74732875" w14:textId="732972E5">
      <w:pPr>
        <w:pBdr>
          <w:left w:val="single" w:sz="4" w:space="1" w:color="auto"/>
        </w:pBdr>
        <w:rPr>
          <w:b/>
          <w:bCs/>
          <w:sz w:val="16"/>
          <w:szCs w:val="16"/>
        </w:rPr>
      </w:pPr>
      <w:r w:rsidRPr="00512403">
        <w:rPr>
          <w:b/>
          <w:bCs/>
          <w:sz w:val="16"/>
          <w:szCs w:val="16"/>
        </w:rPr>
        <w:t>Para el efecto, la AFPC p</w:t>
      </w:r>
      <w:r w:rsidRPr="00512403" w:rsidR="00DD0950">
        <w:rPr>
          <w:b/>
          <w:bCs/>
          <w:sz w:val="16"/>
          <w:szCs w:val="16"/>
        </w:rPr>
        <w:t>uede</w:t>
      </w:r>
      <w:r w:rsidRPr="00512403">
        <w:rPr>
          <w:b/>
          <w:bCs/>
          <w:sz w:val="16"/>
          <w:szCs w:val="16"/>
        </w:rPr>
        <w:t xml:space="preserve"> implementar mecanismo</w:t>
      </w:r>
      <w:r w:rsidRPr="00512403" w:rsidR="00C56D6B">
        <w:rPr>
          <w:b/>
          <w:bCs/>
          <w:sz w:val="16"/>
          <w:szCs w:val="16"/>
        </w:rPr>
        <w:t>s</w:t>
      </w:r>
      <w:r w:rsidRPr="00512403">
        <w:rPr>
          <w:b/>
          <w:bCs/>
          <w:sz w:val="16"/>
          <w:szCs w:val="16"/>
        </w:rPr>
        <w:t xml:space="preserve"> para determinar la exposición real de los vehículos de inversión a las inversiones restringidas, siempre que se cumplan l</w:t>
      </w:r>
      <w:r w:rsidRPr="00512403" w:rsidR="00A677EF">
        <w:rPr>
          <w:b/>
          <w:bCs/>
          <w:sz w:val="16"/>
          <w:szCs w:val="16"/>
        </w:rPr>
        <w:t>a</w:t>
      </w:r>
      <w:r w:rsidRPr="00512403">
        <w:rPr>
          <w:b/>
          <w:bCs/>
          <w:sz w:val="16"/>
          <w:szCs w:val="16"/>
        </w:rPr>
        <w:t>s c</w:t>
      </w:r>
      <w:r w:rsidRPr="00512403" w:rsidR="00787029">
        <w:rPr>
          <w:b/>
          <w:bCs/>
          <w:sz w:val="16"/>
          <w:szCs w:val="16"/>
        </w:rPr>
        <w:t>ondiciones</w:t>
      </w:r>
      <w:r w:rsidRPr="00512403">
        <w:rPr>
          <w:b/>
          <w:bCs/>
          <w:sz w:val="16"/>
          <w:szCs w:val="16"/>
        </w:rPr>
        <w:t xml:space="preserve"> definid</w:t>
      </w:r>
      <w:r w:rsidRPr="00512403" w:rsidR="00787029">
        <w:rPr>
          <w:b/>
          <w:bCs/>
          <w:sz w:val="16"/>
          <w:szCs w:val="16"/>
        </w:rPr>
        <w:t>a</w:t>
      </w:r>
      <w:r w:rsidRPr="00512403">
        <w:rPr>
          <w:b/>
          <w:bCs/>
          <w:sz w:val="16"/>
          <w:szCs w:val="16"/>
        </w:rPr>
        <w:t xml:space="preserve">s en el subnumeral </w:t>
      </w:r>
      <w:r w:rsidRPr="00512403" w:rsidR="00BC43DA">
        <w:rPr>
          <w:b/>
          <w:bCs/>
          <w:sz w:val="16"/>
          <w:szCs w:val="16"/>
        </w:rPr>
        <w:t>4</w:t>
      </w:r>
      <w:r w:rsidRPr="00512403">
        <w:rPr>
          <w:b/>
          <w:bCs/>
          <w:sz w:val="16"/>
          <w:szCs w:val="16"/>
        </w:rPr>
        <w:t>.1</w:t>
      </w:r>
      <w:r w:rsidRPr="00512403" w:rsidR="00787029">
        <w:rPr>
          <w:b/>
          <w:bCs/>
          <w:sz w:val="16"/>
          <w:szCs w:val="16"/>
        </w:rPr>
        <w:t xml:space="preserve"> del presente capítulo</w:t>
      </w:r>
      <w:r w:rsidRPr="00512403">
        <w:rPr>
          <w:b/>
          <w:bCs/>
          <w:sz w:val="16"/>
          <w:szCs w:val="16"/>
        </w:rPr>
        <w:t xml:space="preserve">. En el caso </w:t>
      </w:r>
      <w:r w:rsidR="00DA28D0">
        <w:rPr>
          <w:b/>
          <w:bCs/>
          <w:sz w:val="16"/>
          <w:szCs w:val="16"/>
        </w:rPr>
        <w:t>de</w:t>
      </w:r>
      <w:r w:rsidRPr="00512403">
        <w:rPr>
          <w:b/>
          <w:bCs/>
          <w:sz w:val="16"/>
          <w:szCs w:val="16"/>
        </w:rPr>
        <w:t xml:space="preserve"> que no pueda implementar </w:t>
      </w:r>
      <w:r w:rsidRPr="00512403" w:rsidR="008C77FB">
        <w:rPr>
          <w:b/>
          <w:bCs/>
          <w:sz w:val="16"/>
          <w:szCs w:val="16"/>
        </w:rPr>
        <w:t xml:space="preserve">los </w:t>
      </w:r>
      <w:r w:rsidRPr="00512403">
        <w:rPr>
          <w:b/>
          <w:bCs/>
          <w:sz w:val="16"/>
          <w:szCs w:val="16"/>
        </w:rPr>
        <w:t>mecanismo</w:t>
      </w:r>
      <w:r w:rsidRPr="00512403" w:rsidR="008C77FB">
        <w:rPr>
          <w:b/>
          <w:bCs/>
          <w:sz w:val="16"/>
          <w:szCs w:val="16"/>
        </w:rPr>
        <w:t>s</w:t>
      </w:r>
      <w:r w:rsidRPr="00512403">
        <w:rPr>
          <w:b/>
          <w:bCs/>
          <w:sz w:val="16"/>
          <w:szCs w:val="16"/>
        </w:rPr>
        <w:t xml:space="preserve"> para el c</w:t>
      </w:r>
      <w:r w:rsidRPr="00512403" w:rsidR="3684CF3F">
        <w:rPr>
          <w:b/>
          <w:bCs/>
          <w:sz w:val="16"/>
          <w:szCs w:val="16"/>
        </w:rPr>
        <w:t>ó</w:t>
      </w:r>
      <w:r w:rsidRPr="00512403">
        <w:rPr>
          <w:b/>
          <w:bCs/>
          <w:sz w:val="16"/>
          <w:szCs w:val="16"/>
        </w:rPr>
        <w:t>mputo de la exposición de los vehículos de inversión a activos considerados como inversiones restringidas</w:t>
      </w:r>
      <w:r w:rsidRPr="00512403" w:rsidR="0F0B711D">
        <w:rPr>
          <w:b/>
          <w:bCs/>
          <w:sz w:val="16"/>
          <w:szCs w:val="16"/>
        </w:rPr>
        <w:t>,</w:t>
      </w:r>
      <w:r w:rsidRPr="00512403">
        <w:rPr>
          <w:b/>
          <w:bCs/>
          <w:sz w:val="16"/>
          <w:szCs w:val="16"/>
        </w:rPr>
        <w:t xml:space="preserve"> la AFPC debe tomar la máxima exposición permitida en este tipo de inversiones, según la política de inversión establecida en el reglamento del fondo de inversión colectiva o vehículo correspondiente.</w:t>
      </w:r>
    </w:p>
    <w:p w:rsidR="00C07B7F" w:rsidRPr="00512403" w:rsidP="00F0621B" w14:paraId="00E40506" w14:textId="77777777">
      <w:pPr>
        <w:pBdr>
          <w:left w:val="single" w:sz="4" w:space="1" w:color="auto"/>
        </w:pBdr>
        <w:rPr>
          <w:b/>
          <w:bCs/>
          <w:sz w:val="16"/>
          <w:szCs w:val="16"/>
        </w:rPr>
      </w:pPr>
    </w:p>
    <w:p w:rsidR="00AA5FEA" w:rsidP="00F0621B" w14:paraId="5E6D9E56" w14:textId="205E7A96">
      <w:pPr>
        <w:pBdr>
          <w:left w:val="single" w:sz="4" w:space="1" w:color="auto"/>
        </w:pBdr>
        <w:rPr>
          <w:b/>
          <w:bCs/>
          <w:sz w:val="16"/>
          <w:szCs w:val="16"/>
        </w:rPr>
      </w:pPr>
      <w:r w:rsidRPr="00512403">
        <w:rPr>
          <w:b/>
          <w:bCs/>
          <w:sz w:val="16"/>
          <w:szCs w:val="16"/>
        </w:rPr>
        <w:t xml:space="preserve">Independientemente de la forma como </w:t>
      </w:r>
      <w:r w:rsidR="003A46FE">
        <w:rPr>
          <w:b/>
          <w:bCs/>
          <w:sz w:val="16"/>
          <w:szCs w:val="16"/>
        </w:rPr>
        <w:t>la AFPC d</w:t>
      </w:r>
      <w:r w:rsidRPr="00512403" w:rsidR="001372D9">
        <w:rPr>
          <w:b/>
          <w:bCs/>
          <w:sz w:val="16"/>
          <w:szCs w:val="16"/>
        </w:rPr>
        <w:t xml:space="preserve">etermine la exposición real de los vehículos de inversión </w:t>
      </w:r>
      <w:r w:rsidRPr="00512403" w:rsidR="00BD5D2F">
        <w:rPr>
          <w:b/>
          <w:bCs/>
          <w:sz w:val="16"/>
          <w:szCs w:val="16"/>
        </w:rPr>
        <w:t xml:space="preserve">a las inversiones restringidas, </w:t>
      </w:r>
      <w:r w:rsidRPr="00512403">
        <w:rPr>
          <w:b/>
          <w:bCs/>
          <w:sz w:val="16"/>
          <w:szCs w:val="16"/>
        </w:rPr>
        <w:t xml:space="preserve">debe </w:t>
      </w:r>
      <w:r w:rsidRPr="00512403" w:rsidR="00D50AF1">
        <w:rPr>
          <w:b/>
          <w:bCs/>
          <w:sz w:val="16"/>
          <w:szCs w:val="16"/>
        </w:rPr>
        <w:t>adelantar una revisión periódica</w:t>
      </w:r>
      <w:r w:rsidRPr="00512403" w:rsidR="00471512">
        <w:rPr>
          <w:b/>
          <w:bCs/>
          <w:sz w:val="16"/>
          <w:szCs w:val="16"/>
        </w:rPr>
        <w:t xml:space="preserve"> de la</w:t>
      </w:r>
      <w:r w:rsidRPr="00512403" w:rsidR="00D50AF1">
        <w:rPr>
          <w:b/>
          <w:bCs/>
          <w:sz w:val="16"/>
          <w:szCs w:val="16"/>
        </w:rPr>
        <w:t xml:space="preserve"> </w:t>
      </w:r>
      <w:r w:rsidRPr="00512403" w:rsidR="00471512">
        <w:rPr>
          <w:b/>
          <w:bCs/>
          <w:sz w:val="16"/>
          <w:szCs w:val="16"/>
        </w:rPr>
        <w:t xml:space="preserve">política de inversión establecida en el reglamento del fondo de inversión colectiva o vehículo correspondiente </w:t>
      </w:r>
      <w:r w:rsidRPr="00512403" w:rsidR="000F32D2">
        <w:rPr>
          <w:b/>
          <w:bCs/>
          <w:sz w:val="16"/>
          <w:szCs w:val="16"/>
        </w:rPr>
        <w:t xml:space="preserve">y demás información </w:t>
      </w:r>
      <w:r w:rsidRPr="00512403" w:rsidR="004A1629">
        <w:rPr>
          <w:b/>
          <w:bCs/>
          <w:sz w:val="16"/>
          <w:szCs w:val="16"/>
        </w:rPr>
        <w:t>relevante para</w:t>
      </w:r>
      <w:r w:rsidRPr="00512403">
        <w:rPr>
          <w:b/>
          <w:bCs/>
          <w:sz w:val="16"/>
          <w:szCs w:val="16"/>
        </w:rPr>
        <w:t xml:space="preserve"> la determinación de la exposición.</w:t>
      </w:r>
    </w:p>
    <w:p w:rsidR="00B2085B" w:rsidRPr="00512403" w:rsidP="00F0621B" w14:paraId="6391812A" w14:textId="77777777">
      <w:pPr>
        <w:pBdr>
          <w:left w:val="single" w:sz="4" w:space="1" w:color="auto"/>
        </w:pBdr>
        <w:rPr>
          <w:b/>
          <w:bCs/>
          <w:sz w:val="16"/>
          <w:szCs w:val="16"/>
        </w:rPr>
      </w:pPr>
    </w:p>
    <w:p w:rsidR="00C07B7F" w:rsidRPr="00512403" w:rsidP="00B2085B" w14:paraId="34A38CDC" w14:textId="2A43F733">
      <w:pPr>
        <w:pStyle w:val="Heading1"/>
        <w:pBdr>
          <w:left w:val="single" w:sz="4" w:space="1" w:color="auto"/>
        </w:pBdr>
        <w:spacing w:before="0" w:after="0"/>
      </w:pPr>
      <w:r w:rsidRPr="00512403">
        <w:t>4</w:t>
      </w:r>
      <w:r w:rsidRPr="00512403">
        <w:t>.1 C</w:t>
      </w:r>
      <w:r w:rsidRPr="00512403" w:rsidR="009E67EA">
        <w:t>ondiciones</w:t>
      </w:r>
      <w:r w:rsidRPr="00512403">
        <w:t xml:space="preserve"> </w:t>
      </w:r>
      <w:r w:rsidRPr="00512403" w:rsidR="009E67EA">
        <w:t>d</w:t>
      </w:r>
      <w:r w:rsidRPr="00512403">
        <w:t>e</w:t>
      </w:r>
      <w:r w:rsidRPr="00512403" w:rsidR="003A1383">
        <w:t xml:space="preserve"> </w:t>
      </w:r>
      <w:r w:rsidRPr="00512403">
        <w:t>l</w:t>
      </w:r>
      <w:r w:rsidRPr="00512403" w:rsidR="003A1383">
        <w:t xml:space="preserve">os </w:t>
      </w:r>
      <w:r w:rsidRPr="00512403">
        <w:t>mecanismo</w:t>
      </w:r>
      <w:r w:rsidRPr="00512403" w:rsidR="003A1383">
        <w:t>s</w:t>
      </w:r>
      <w:r w:rsidRPr="00512403">
        <w:t xml:space="preserve"> para determinar la exposición real de los vehículos de inversión a las inversiones consideradas como restringidas </w:t>
      </w:r>
    </w:p>
    <w:p w:rsidR="00C07B7F" w:rsidRPr="00512403" w:rsidP="00B2085B" w14:paraId="015FA453" w14:textId="024FF037">
      <w:pPr>
        <w:pBdr>
          <w:left w:val="single" w:sz="4" w:space="1" w:color="auto"/>
        </w:pBdr>
      </w:pPr>
    </w:p>
    <w:p w:rsidR="00C07B7F" w:rsidRPr="00512403" w:rsidP="00F0621B" w14:paraId="4D2FB3CE" w14:textId="1D415324">
      <w:pPr>
        <w:pBdr>
          <w:left w:val="single" w:sz="4" w:space="1" w:color="auto"/>
        </w:pBdr>
        <w:rPr>
          <w:b/>
          <w:bCs/>
          <w:sz w:val="16"/>
          <w:szCs w:val="16"/>
        </w:rPr>
      </w:pPr>
      <w:r w:rsidRPr="00512403">
        <w:rPr>
          <w:b/>
          <w:bCs/>
          <w:sz w:val="16"/>
          <w:szCs w:val="16"/>
        </w:rPr>
        <w:t>4</w:t>
      </w:r>
      <w:r w:rsidRPr="00512403">
        <w:rPr>
          <w:b/>
          <w:bCs/>
          <w:sz w:val="16"/>
          <w:szCs w:val="16"/>
        </w:rPr>
        <w:t xml:space="preserve">.1.1. </w:t>
      </w:r>
      <w:r w:rsidRPr="00512403" w:rsidR="00FE15D4">
        <w:rPr>
          <w:b/>
          <w:bCs/>
          <w:sz w:val="16"/>
          <w:szCs w:val="16"/>
        </w:rPr>
        <w:t>I</w:t>
      </w:r>
      <w:r w:rsidRPr="00512403">
        <w:rPr>
          <w:b/>
          <w:bCs/>
          <w:sz w:val="16"/>
          <w:szCs w:val="16"/>
        </w:rPr>
        <w:t>nformación</w:t>
      </w:r>
      <w:r w:rsidRPr="00512403" w:rsidR="00671E30">
        <w:rPr>
          <w:b/>
          <w:bCs/>
          <w:sz w:val="16"/>
          <w:szCs w:val="16"/>
        </w:rPr>
        <w:t xml:space="preserve"> actualizada</w:t>
      </w:r>
      <w:r w:rsidRPr="00512403">
        <w:rPr>
          <w:b/>
          <w:bCs/>
          <w:sz w:val="16"/>
          <w:szCs w:val="16"/>
        </w:rPr>
        <w:t xml:space="preserve">. En caso de contar con información actualizada, bien sea por certificaciones expedidas por el administrador del vehículo de inversión o por los mecanismos contractuales dispuestos para la divulgación de la estructura de sus activos, </w:t>
      </w:r>
      <w:r w:rsidRPr="00512403" w:rsidR="00B0610E">
        <w:rPr>
          <w:b/>
          <w:bCs/>
          <w:sz w:val="16"/>
          <w:szCs w:val="16"/>
        </w:rPr>
        <w:t>la AFPC</w:t>
      </w:r>
      <w:r w:rsidRPr="00512403">
        <w:rPr>
          <w:b/>
          <w:bCs/>
          <w:sz w:val="16"/>
          <w:szCs w:val="16"/>
        </w:rPr>
        <w:t xml:space="preserve"> debe realizar el cálculo de su exposición basad</w:t>
      </w:r>
      <w:r w:rsidR="007F6AD5">
        <w:rPr>
          <w:b/>
          <w:bCs/>
          <w:sz w:val="16"/>
          <w:szCs w:val="16"/>
        </w:rPr>
        <w:t>a</w:t>
      </w:r>
      <w:r w:rsidRPr="00512403">
        <w:rPr>
          <w:b/>
          <w:bCs/>
          <w:sz w:val="16"/>
          <w:szCs w:val="16"/>
        </w:rPr>
        <w:t xml:space="preserve"> en esta información, ponderado por el porcentaje de participación del fondo en el respectivo vehículo.</w:t>
      </w:r>
    </w:p>
    <w:p w:rsidR="00F95B46" w:rsidRPr="00512403" w:rsidP="00F0621B" w14:paraId="193CBBB6" w14:textId="77777777">
      <w:pPr>
        <w:pBdr>
          <w:left w:val="single" w:sz="4" w:space="1" w:color="auto"/>
        </w:pBdr>
        <w:rPr>
          <w:b/>
          <w:bCs/>
          <w:sz w:val="16"/>
          <w:szCs w:val="16"/>
        </w:rPr>
      </w:pPr>
    </w:p>
    <w:p w:rsidR="00C07B7F" w:rsidRPr="00512403" w:rsidP="00F0621B" w14:paraId="58F58A53" w14:textId="65D848FF">
      <w:pPr>
        <w:pBdr>
          <w:left w:val="single" w:sz="4" w:space="1" w:color="auto"/>
        </w:pBdr>
        <w:rPr>
          <w:b/>
          <w:bCs/>
          <w:sz w:val="16"/>
          <w:szCs w:val="16"/>
        </w:rPr>
      </w:pPr>
      <w:r w:rsidRPr="00512403">
        <w:rPr>
          <w:b/>
          <w:bCs/>
          <w:sz w:val="16"/>
          <w:szCs w:val="16"/>
        </w:rPr>
        <w:t xml:space="preserve">Se entiende por información actualizada aquella </w:t>
      </w:r>
      <w:r w:rsidRPr="00512403" w:rsidR="004D7A81">
        <w:rPr>
          <w:b/>
          <w:bCs/>
          <w:sz w:val="16"/>
          <w:szCs w:val="16"/>
        </w:rPr>
        <w:t xml:space="preserve">publicada por </w:t>
      </w:r>
      <w:r w:rsidRPr="00512403" w:rsidR="78172379">
        <w:rPr>
          <w:b/>
          <w:bCs/>
          <w:sz w:val="16"/>
          <w:szCs w:val="16"/>
        </w:rPr>
        <w:t>la sociedad administradora o gestor</w:t>
      </w:r>
      <w:r w:rsidRPr="00512403" w:rsidR="004D7A81">
        <w:rPr>
          <w:b/>
          <w:bCs/>
          <w:sz w:val="16"/>
          <w:szCs w:val="16"/>
        </w:rPr>
        <w:t xml:space="preserve"> del vehículo de inversión</w:t>
      </w:r>
      <w:r w:rsidR="00142293">
        <w:rPr>
          <w:b/>
          <w:bCs/>
          <w:sz w:val="16"/>
          <w:szCs w:val="16"/>
        </w:rPr>
        <w:t>,</w:t>
      </w:r>
      <w:r w:rsidRPr="00512403" w:rsidR="004D7A81">
        <w:rPr>
          <w:b/>
          <w:bCs/>
          <w:sz w:val="16"/>
          <w:szCs w:val="16"/>
        </w:rPr>
        <w:t xml:space="preserve"> o </w:t>
      </w:r>
      <w:r w:rsidRPr="00512403" w:rsidR="00B07675">
        <w:rPr>
          <w:b/>
          <w:bCs/>
          <w:sz w:val="16"/>
          <w:szCs w:val="16"/>
        </w:rPr>
        <w:t>conocida por la AFPC dentro de los</w:t>
      </w:r>
      <w:r w:rsidRPr="00512403" w:rsidR="00FE4172">
        <w:rPr>
          <w:b/>
          <w:bCs/>
          <w:sz w:val="16"/>
          <w:szCs w:val="16"/>
        </w:rPr>
        <w:t xml:space="preserve"> </w:t>
      </w:r>
      <w:r w:rsidR="00142293">
        <w:rPr>
          <w:b/>
          <w:bCs/>
          <w:sz w:val="16"/>
          <w:szCs w:val="16"/>
        </w:rPr>
        <w:t>3</w:t>
      </w:r>
      <w:r w:rsidRPr="00512403" w:rsidR="00B07675">
        <w:rPr>
          <w:b/>
          <w:bCs/>
          <w:sz w:val="16"/>
          <w:szCs w:val="16"/>
        </w:rPr>
        <w:t xml:space="preserve"> meses anteriores a la fecha de cálculo del control de los límites</w:t>
      </w:r>
      <w:r w:rsidRPr="00512403" w:rsidR="00790FD1">
        <w:rPr>
          <w:b/>
          <w:bCs/>
          <w:sz w:val="16"/>
          <w:szCs w:val="16"/>
        </w:rPr>
        <w:t>.</w:t>
      </w:r>
    </w:p>
    <w:p w:rsidR="00B16B84" w:rsidRPr="00512403" w:rsidP="00F0621B" w14:paraId="68A4A0AA" w14:textId="77777777">
      <w:pPr>
        <w:pBdr>
          <w:left w:val="single" w:sz="4" w:space="1" w:color="auto"/>
        </w:pBdr>
        <w:rPr>
          <w:b/>
          <w:bCs/>
          <w:sz w:val="16"/>
          <w:szCs w:val="16"/>
        </w:rPr>
      </w:pPr>
    </w:p>
    <w:p w:rsidR="00A61ED6" w:rsidRPr="00512403" w:rsidP="00F0621B" w14:paraId="15623DEE" w14:textId="7AB06F8C">
      <w:pPr>
        <w:pBdr>
          <w:left w:val="single" w:sz="4" w:space="1" w:color="auto"/>
        </w:pBdr>
        <w:rPr>
          <w:b/>
          <w:bCs/>
          <w:sz w:val="16"/>
          <w:szCs w:val="16"/>
        </w:rPr>
      </w:pPr>
      <w:r w:rsidRPr="00512403">
        <w:rPr>
          <w:b/>
          <w:bCs/>
          <w:sz w:val="16"/>
          <w:szCs w:val="16"/>
        </w:rPr>
        <w:t xml:space="preserve">4.1.2. </w:t>
      </w:r>
      <w:r w:rsidRPr="00512403" w:rsidR="006C1477">
        <w:rPr>
          <w:b/>
          <w:bCs/>
          <w:sz w:val="16"/>
          <w:szCs w:val="16"/>
        </w:rPr>
        <w:t xml:space="preserve">Con el fin de </w:t>
      </w:r>
      <w:r w:rsidRPr="00512403" w:rsidR="00D70733">
        <w:rPr>
          <w:b/>
          <w:bCs/>
          <w:sz w:val="16"/>
          <w:szCs w:val="16"/>
        </w:rPr>
        <w:t>prever</w:t>
      </w:r>
      <w:r w:rsidRPr="00512403" w:rsidR="006C1477">
        <w:rPr>
          <w:b/>
          <w:bCs/>
          <w:sz w:val="16"/>
          <w:szCs w:val="16"/>
        </w:rPr>
        <w:t xml:space="preserve"> los movimientos </w:t>
      </w:r>
      <w:r w:rsidRPr="00512403" w:rsidR="00D70733">
        <w:rPr>
          <w:b/>
          <w:bCs/>
          <w:sz w:val="16"/>
          <w:szCs w:val="16"/>
        </w:rPr>
        <w:t xml:space="preserve">en las composiciones diarias de los </w:t>
      </w:r>
      <w:r w:rsidRPr="00512403" w:rsidR="009F480F">
        <w:rPr>
          <w:b/>
          <w:bCs/>
          <w:sz w:val="16"/>
          <w:szCs w:val="16"/>
        </w:rPr>
        <w:t>vehículos</w:t>
      </w:r>
      <w:r w:rsidRPr="00512403" w:rsidR="00D70733">
        <w:rPr>
          <w:b/>
          <w:bCs/>
          <w:sz w:val="16"/>
          <w:szCs w:val="16"/>
        </w:rPr>
        <w:t xml:space="preserve"> y su efecto en el cumplimiento de los </w:t>
      </w:r>
      <w:r w:rsidRPr="00512403" w:rsidR="0085704F">
        <w:rPr>
          <w:b/>
          <w:bCs/>
          <w:sz w:val="16"/>
          <w:szCs w:val="16"/>
        </w:rPr>
        <w:t>límites de inversión internos y legales</w:t>
      </w:r>
      <w:r w:rsidRPr="00512403" w:rsidR="00D70733">
        <w:rPr>
          <w:b/>
          <w:bCs/>
          <w:sz w:val="16"/>
          <w:szCs w:val="16"/>
        </w:rPr>
        <w:t xml:space="preserve">, </w:t>
      </w:r>
      <w:r w:rsidRPr="00512403" w:rsidR="0085704F">
        <w:rPr>
          <w:b/>
          <w:bCs/>
          <w:sz w:val="16"/>
          <w:szCs w:val="16"/>
        </w:rPr>
        <w:t xml:space="preserve">el mecanismo </w:t>
      </w:r>
      <w:r w:rsidRPr="00512403" w:rsidR="00BE2238">
        <w:rPr>
          <w:b/>
          <w:bCs/>
          <w:sz w:val="16"/>
          <w:szCs w:val="16"/>
        </w:rPr>
        <w:t xml:space="preserve">para determinar la exposición debe incluir </w:t>
      </w:r>
      <w:r w:rsidRPr="00512403" w:rsidR="00FB47DF">
        <w:rPr>
          <w:b/>
          <w:bCs/>
          <w:sz w:val="16"/>
          <w:szCs w:val="16"/>
        </w:rPr>
        <w:t>un</w:t>
      </w:r>
      <w:r w:rsidRPr="00512403" w:rsidR="00F80658">
        <w:rPr>
          <w:b/>
          <w:bCs/>
          <w:sz w:val="16"/>
          <w:szCs w:val="16"/>
        </w:rPr>
        <w:t xml:space="preserve"> supuesto</w:t>
      </w:r>
      <w:r w:rsidRPr="00512403" w:rsidR="003A5DBE">
        <w:rPr>
          <w:b/>
          <w:bCs/>
          <w:sz w:val="16"/>
          <w:szCs w:val="16"/>
        </w:rPr>
        <w:t xml:space="preserve"> que permita </w:t>
      </w:r>
      <w:r w:rsidRPr="00512403" w:rsidR="00AC3F7D">
        <w:rPr>
          <w:b/>
          <w:bCs/>
          <w:sz w:val="16"/>
          <w:szCs w:val="16"/>
        </w:rPr>
        <w:t>realizar la mejor estimación de la exposición real desde la fecha de cálculo del control de los límites hasta la próxima fecha en la cual se dispone de información actualizada.</w:t>
      </w:r>
    </w:p>
    <w:p w:rsidR="00C07B7F" w:rsidRPr="00512403" w:rsidP="00F0621B" w14:paraId="5EC86B9D" w14:textId="77777777">
      <w:pPr>
        <w:pBdr>
          <w:left w:val="single" w:sz="4" w:space="1" w:color="auto"/>
        </w:pBdr>
        <w:rPr>
          <w:b/>
          <w:bCs/>
          <w:sz w:val="16"/>
          <w:szCs w:val="16"/>
        </w:rPr>
      </w:pPr>
    </w:p>
    <w:p w:rsidR="00C07B7F" w:rsidRPr="00512403" w:rsidP="00F0621B" w14:paraId="1E52368D" w14:textId="5C4587CF">
      <w:pPr>
        <w:pBdr>
          <w:left w:val="single" w:sz="4" w:space="1" w:color="auto"/>
        </w:pBdr>
        <w:rPr>
          <w:b/>
          <w:bCs/>
          <w:sz w:val="16"/>
          <w:szCs w:val="16"/>
        </w:rPr>
      </w:pPr>
      <w:r w:rsidRPr="00512403">
        <w:rPr>
          <w:b/>
          <w:bCs/>
          <w:sz w:val="16"/>
          <w:szCs w:val="16"/>
        </w:rPr>
        <w:t>4</w:t>
      </w:r>
      <w:r w:rsidRPr="00512403">
        <w:rPr>
          <w:b/>
          <w:bCs/>
          <w:sz w:val="16"/>
          <w:szCs w:val="16"/>
        </w:rPr>
        <w:t>.1.</w:t>
      </w:r>
      <w:r w:rsidRPr="00512403" w:rsidR="00B16B84">
        <w:rPr>
          <w:b/>
          <w:bCs/>
          <w:sz w:val="16"/>
          <w:szCs w:val="16"/>
        </w:rPr>
        <w:t>3</w:t>
      </w:r>
      <w:r w:rsidRPr="00512403">
        <w:rPr>
          <w:b/>
          <w:bCs/>
          <w:sz w:val="16"/>
          <w:szCs w:val="16"/>
        </w:rPr>
        <w:t xml:space="preserve">. </w:t>
      </w:r>
      <w:r w:rsidRPr="00512403" w:rsidR="009270A9">
        <w:rPr>
          <w:b/>
          <w:bCs/>
          <w:sz w:val="16"/>
          <w:szCs w:val="16"/>
        </w:rPr>
        <w:t xml:space="preserve">Ser objeto de revisión </w:t>
      </w:r>
      <w:r w:rsidRPr="00512403" w:rsidR="00AE1F3E">
        <w:rPr>
          <w:b/>
          <w:bCs/>
          <w:sz w:val="16"/>
          <w:szCs w:val="16"/>
        </w:rPr>
        <w:t xml:space="preserve">por parte del Comité de Riesgos. </w:t>
      </w:r>
      <w:r w:rsidRPr="00512403" w:rsidR="007D0728">
        <w:rPr>
          <w:b/>
          <w:bCs/>
          <w:sz w:val="16"/>
          <w:szCs w:val="16"/>
        </w:rPr>
        <w:t>Los resultados de</w:t>
      </w:r>
      <w:r w:rsidRPr="00512403" w:rsidR="008E3076">
        <w:rPr>
          <w:b/>
          <w:bCs/>
          <w:sz w:val="16"/>
          <w:szCs w:val="16"/>
        </w:rPr>
        <w:t xml:space="preserve"> la aplicación de</w:t>
      </w:r>
      <w:r w:rsidRPr="00512403" w:rsidR="00DB16F3">
        <w:rPr>
          <w:b/>
          <w:bCs/>
          <w:sz w:val="16"/>
          <w:szCs w:val="16"/>
        </w:rPr>
        <w:t>l</w:t>
      </w:r>
      <w:r w:rsidRPr="00512403" w:rsidR="008E3076">
        <w:rPr>
          <w:b/>
          <w:bCs/>
          <w:sz w:val="16"/>
          <w:szCs w:val="16"/>
        </w:rPr>
        <w:t xml:space="preserve"> </w:t>
      </w:r>
      <w:r w:rsidRPr="00512403" w:rsidR="007D0728">
        <w:rPr>
          <w:b/>
          <w:bCs/>
          <w:sz w:val="16"/>
          <w:szCs w:val="16"/>
        </w:rPr>
        <w:t xml:space="preserve">mecanismo </w:t>
      </w:r>
      <w:r w:rsidRPr="00512403" w:rsidR="00DA3BD1">
        <w:rPr>
          <w:b/>
          <w:bCs/>
          <w:sz w:val="16"/>
          <w:szCs w:val="16"/>
        </w:rPr>
        <w:t>de que trata el presente subnumeral</w:t>
      </w:r>
      <w:r w:rsidRPr="00512403" w:rsidR="00BE5A9F">
        <w:rPr>
          <w:b/>
          <w:bCs/>
          <w:sz w:val="16"/>
          <w:szCs w:val="16"/>
        </w:rPr>
        <w:t xml:space="preserve"> </w:t>
      </w:r>
      <w:r w:rsidRPr="00512403" w:rsidR="007D0728">
        <w:rPr>
          <w:b/>
          <w:bCs/>
          <w:sz w:val="16"/>
          <w:szCs w:val="16"/>
        </w:rPr>
        <w:t xml:space="preserve">deben ser presentados </w:t>
      </w:r>
      <w:r w:rsidRPr="00512403" w:rsidR="00FE4172">
        <w:rPr>
          <w:b/>
          <w:bCs/>
          <w:sz w:val="16"/>
          <w:szCs w:val="16"/>
        </w:rPr>
        <w:t>mensualmente</w:t>
      </w:r>
      <w:r w:rsidRPr="00512403" w:rsidR="00A267C3">
        <w:rPr>
          <w:b/>
          <w:bCs/>
          <w:sz w:val="16"/>
          <w:szCs w:val="16"/>
        </w:rPr>
        <w:t xml:space="preserve"> </w:t>
      </w:r>
      <w:r w:rsidRPr="00512403" w:rsidR="007D0728">
        <w:rPr>
          <w:b/>
          <w:bCs/>
          <w:sz w:val="16"/>
          <w:szCs w:val="16"/>
        </w:rPr>
        <w:t>ante el Comité de Riesgos</w:t>
      </w:r>
      <w:r w:rsidRPr="00512403" w:rsidR="00467017">
        <w:rPr>
          <w:b/>
          <w:bCs/>
          <w:sz w:val="16"/>
          <w:szCs w:val="16"/>
        </w:rPr>
        <w:t xml:space="preserve">, de manera tal que </w:t>
      </w:r>
      <w:r w:rsidRPr="00512403">
        <w:rPr>
          <w:b/>
          <w:bCs/>
          <w:sz w:val="16"/>
          <w:szCs w:val="16"/>
        </w:rPr>
        <w:t xml:space="preserve">este pueda cumplir con su función de velar por el cumplimiento </w:t>
      </w:r>
      <w:r w:rsidRPr="00512403" w:rsidR="003643B8">
        <w:rPr>
          <w:b/>
          <w:bCs/>
          <w:sz w:val="16"/>
          <w:szCs w:val="16"/>
        </w:rPr>
        <w:t>d</w:t>
      </w:r>
      <w:r w:rsidRPr="00512403">
        <w:rPr>
          <w:b/>
          <w:bCs/>
          <w:sz w:val="16"/>
          <w:szCs w:val="16"/>
        </w:rPr>
        <w:t>e los l</w:t>
      </w:r>
      <w:r w:rsidRPr="00512403" w:rsidR="004B0BE8">
        <w:rPr>
          <w:b/>
          <w:bCs/>
          <w:sz w:val="16"/>
          <w:szCs w:val="16"/>
        </w:rPr>
        <w:t>í</w:t>
      </w:r>
      <w:r w:rsidRPr="00512403">
        <w:rPr>
          <w:b/>
          <w:bCs/>
          <w:sz w:val="16"/>
          <w:szCs w:val="16"/>
        </w:rPr>
        <w:t xml:space="preserve">mites internos y legales. </w:t>
      </w:r>
    </w:p>
    <w:p w:rsidR="00380D71" w:rsidRPr="00512403" w:rsidP="00F0621B" w14:paraId="14950473" w14:textId="77777777">
      <w:pPr>
        <w:pBdr>
          <w:left w:val="single" w:sz="4" w:space="1" w:color="auto"/>
        </w:pBdr>
        <w:rPr>
          <w:b/>
          <w:bCs/>
          <w:sz w:val="16"/>
          <w:szCs w:val="16"/>
        </w:rPr>
      </w:pPr>
    </w:p>
    <w:p w:rsidR="00BE5A9F" w:rsidRPr="00512403" w:rsidP="00F0621B" w14:paraId="34827896" w14:textId="04D1A18A">
      <w:pPr>
        <w:pBdr>
          <w:left w:val="single" w:sz="4" w:space="1" w:color="auto"/>
        </w:pBdr>
        <w:rPr>
          <w:b/>
          <w:bCs/>
          <w:sz w:val="16"/>
          <w:szCs w:val="16"/>
        </w:rPr>
      </w:pPr>
      <w:r w:rsidRPr="00512403">
        <w:rPr>
          <w:b/>
          <w:bCs/>
          <w:sz w:val="16"/>
          <w:szCs w:val="16"/>
        </w:rPr>
        <w:t>El área</w:t>
      </w:r>
      <w:r w:rsidRPr="00512403" w:rsidR="00B96AA9">
        <w:rPr>
          <w:b/>
          <w:bCs/>
          <w:sz w:val="16"/>
          <w:szCs w:val="16"/>
        </w:rPr>
        <w:t xml:space="preserve"> designada por el Comité de Riesgos</w:t>
      </w:r>
      <w:r w:rsidRPr="00512403">
        <w:rPr>
          <w:b/>
          <w:bCs/>
          <w:sz w:val="16"/>
          <w:szCs w:val="16"/>
        </w:rPr>
        <w:t xml:space="preserve"> </w:t>
      </w:r>
      <w:r w:rsidRPr="00512403" w:rsidR="00B96AA9">
        <w:rPr>
          <w:b/>
          <w:bCs/>
          <w:sz w:val="16"/>
          <w:szCs w:val="16"/>
        </w:rPr>
        <w:t>como</w:t>
      </w:r>
      <w:r w:rsidRPr="00512403">
        <w:rPr>
          <w:b/>
          <w:bCs/>
          <w:sz w:val="16"/>
          <w:szCs w:val="16"/>
        </w:rPr>
        <w:t xml:space="preserve"> responsable de</w:t>
      </w:r>
      <w:r w:rsidRPr="00512403" w:rsidR="0068281D">
        <w:rPr>
          <w:b/>
          <w:bCs/>
          <w:sz w:val="16"/>
          <w:szCs w:val="16"/>
        </w:rPr>
        <w:t xml:space="preserve"> la presentación de los informes con los</w:t>
      </w:r>
      <w:r w:rsidRPr="00512403">
        <w:rPr>
          <w:b/>
          <w:bCs/>
          <w:sz w:val="16"/>
          <w:szCs w:val="16"/>
        </w:rPr>
        <w:t xml:space="preserve"> </w:t>
      </w:r>
      <w:r w:rsidRPr="00512403" w:rsidR="0068281D">
        <w:rPr>
          <w:b/>
          <w:bCs/>
          <w:sz w:val="16"/>
          <w:szCs w:val="16"/>
        </w:rPr>
        <w:t>resultados de la aplicación de</w:t>
      </w:r>
      <w:r w:rsidRPr="00512403" w:rsidR="008E22FA">
        <w:rPr>
          <w:b/>
          <w:bCs/>
          <w:sz w:val="16"/>
          <w:szCs w:val="16"/>
        </w:rPr>
        <w:t>l</w:t>
      </w:r>
      <w:r w:rsidRPr="00512403" w:rsidR="0068281D">
        <w:rPr>
          <w:b/>
          <w:bCs/>
          <w:sz w:val="16"/>
          <w:szCs w:val="16"/>
        </w:rPr>
        <w:t xml:space="preserve"> mecanismo</w:t>
      </w:r>
      <w:r w:rsidRPr="00512403" w:rsidR="008E22FA">
        <w:rPr>
          <w:b/>
          <w:bCs/>
          <w:sz w:val="16"/>
          <w:szCs w:val="16"/>
        </w:rPr>
        <w:t xml:space="preserve"> </w:t>
      </w:r>
      <w:r w:rsidRPr="00512403" w:rsidR="00380D71">
        <w:rPr>
          <w:b/>
          <w:bCs/>
          <w:sz w:val="16"/>
          <w:szCs w:val="16"/>
        </w:rPr>
        <w:t>de que trata el presente subnumeral</w:t>
      </w:r>
      <w:r w:rsidRPr="00512403" w:rsidR="0068281D">
        <w:rPr>
          <w:b/>
          <w:bCs/>
          <w:sz w:val="16"/>
          <w:szCs w:val="16"/>
        </w:rPr>
        <w:t xml:space="preserve">, </w:t>
      </w:r>
      <w:r w:rsidRPr="00512403" w:rsidR="00814CE7">
        <w:rPr>
          <w:b/>
          <w:bCs/>
          <w:sz w:val="16"/>
          <w:szCs w:val="16"/>
        </w:rPr>
        <w:t>también será la encargada de</w:t>
      </w:r>
      <w:r w:rsidRPr="00512403">
        <w:rPr>
          <w:b/>
          <w:bCs/>
          <w:sz w:val="16"/>
          <w:szCs w:val="16"/>
        </w:rPr>
        <w:t>l control diario del cumplimiento</w:t>
      </w:r>
      <w:r w:rsidRPr="00512403" w:rsidR="00B96AA9">
        <w:rPr>
          <w:b/>
          <w:bCs/>
          <w:sz w:val="16"/>
          <w:szCs w:val="16"/>
        </w:rPr>
        <w:t xml:space="preserve"> de los límites de inversión</w:t>
      </w:r>
      <w:r w:rsidRPr="00512403" w:rsidR="00814CE7">
        <w:rPr>
          <w:b/>
          <w:bCs/>
          <w:sz w:val="16"/>
          <w:szCs w:val="16"/>
        </w:rPr>
        <w:t>.</w:t>
      </w:r>
    </w:p>
    <w:p w:rsidR="00C07B7F" w:rsidRPr="00512403" w:rsidP="00F0621B" w14:paraId="60B23347" w14:textId="77777777">
      <w:pPr>
        <w:pBdr>
          <w:left w:val="single" w:sz="4" w:space="1" w:color="auto"/>
        </w:pBdr>
        <w:rPr>
          <w:b/>
          <w:bCs/>
          <w:sz w:val="16"/>
          <w:szCs w:val="16"/>
        </w:rPr>
      </w:pPr>
    </w:p>
    <w:p w:rsidR="00F94F94" w:rsidRPr="00512403" w:rsidP="19B141CE" w14:paraId="2118BA5E" w14:textId="0B67B152">
      <w:pPr>
        <w:pBdr>
          <w:left w:val="single" w:sz="4" w:space="1" w:color="auto"/>
        </w:pBdr>
        <w:rPr>
          <w:b/>
          <w:bCs/>
          <w:sz w:val="16"/>
          <w:szCs w:val="16"/>
        </w:rPr>
      </w:pPr>
      <w:r w:rsidRPr="00512403">
        <w:rPr>
          <w:b/>
          <w:bCs/>
          <w:sz w:val="16"/>
          <w:szCs w:val="16"/>
        </w:rPr>
        <w:t>4</w:t>
      </w:r>
      <w:r w:rsidRPr="00512403" w:rsidR="00C07B7F">
        <w:rPr>
          <w:b/>
          <w:bCs/>
          <w:sz w:val="16"/>
          <w:szCs w:val="16"/>
        </w:rPr>
        <w:t>.1.</w:t>
      </w:r>
      <w:r w:rsidRPr="00512403" w:rsidR="00B16B84">
        <w:rPr>
          <w:b/>
          <w:bCs/>
          <w:sz w:val="16"/>
          <w:szCs w:val="16"/>
        </w:rPr>
        <w:t>4</w:t>
      </w:r>
      <w:r w:rsidRPr="00512403" w:rsidR="00C07B7F">
        <w:rPr>
          <w:b/>
          <w:bCs/>
          <w:sz w:val="16"/>
          <w:szCs w:val="16"/>
        </w:rPr>
        <w:t xml:space="preserve">. </w:t>
      </w:r>
      <w:r w:rsidRPr="00512403" w:rsidR="1AF58D57">
        <w:rPr>
          <w:b/>
          <w:bCs/>
          <w:sz w:val="16"/>
          <w:szCs w:val="16"/>
        </w:rPr>
        <w:t>E</w:t>
      </w:r>
      <w:r w:rsidRPr="00512403" w:rsidR="00941514">
        <w:rPr>
          <w:b/>
          <w:bCs/>
          <w:sz w:val="16"/>
          <w:szCs w:val="16"/>
        </w:rPr>
        <w:t xml:space="preserve">xposición subyacente en el caso de inversiones realizadas </w:t>
      </w:r>
      <w:r w:rsidRPr="00512403" w:rsidR="00122420">
        <w:rPr>
          <w:b/>
          <w:bCs/>
          <w:sz w:val="16"/>
          <w:szCs w:val="16"/>
        </w:rPr>
        <w:t>a través de</w:t>
      </w:r>
      <w:r w:rsidRPr="00512403" w:rsidR="00941514">
        <w:rPr>
          <w:b/>
          <w:bCs/>
          <w:sz w:val="16"/>
          <w:szCs w:val="16"/>
        </w:rPr>
        <w:t xml:space="preserve"> </w:t>
      </w:r>
      <w:r w:rsidRPr="00512403" w:rsidR="00F27392">
        <w:rPr>
          <w:b/>
          <w:bCs/>
          <w:sz w:val="16"/>
          <w:szCs w:val="16"/>
        </w:rPr>
        <w:t>f</w:t>
      </w:r>
      <w:r w:rsidRPr="00512403" w:rsidR="00C07B7F">
        <w:rPr>
          <w:b/>
          <w:bCs/>
          <w:sz w:val="16"/>
          <w:szCs w:val="16"/>
        </w:rPr>
        <w:t>ondos de fondos</w:t>
      </w:r>
      <w:r w:rsidRPr="00512403" w:rsidR="007B4CC1">
        <w:rPr>
          <w:b/>
          <w:bCs/>
          <w:sz w:val="16"/>
          <w:szCs w:val="16"/>
        </w:rPr>
        <w:t xml:space="preserve"> u otros vehículos de inversión</w:t>
      </w:r>
      <w:r w:rsidRPr="00512403" w:rsidR="00EA2BFA">
        <w:rPr>
          <w:b/>
          <w:bCs/>
          <w:sz w:val="16"/>
          <w:szCs w:val="16"/>
        </w:rPr>
        <w:t xml:space="preserve"> </w:t>
      </w:r>
      <w:r w:rsidRPr="00512403" w:rsidR="00113F14">
        <w:rPr>
          <w:b/>
          <w:bCs/>
          <w:sz w:val="16"/>
          <w:szCs w:val="16"/>
        </w:rPr>
        <w:t xml:space="preserve">mediante los cuales </w:t>
      </w:r>
      <w:r w:rsidRPr="00512403" w:rsidR="00C60595">
        <w:rPr>
          <w:b/>
          <w:bCs/>
          <w:sz w:val="16"/>
          <w:szCs w:val="16"/>
        </w:rPr>
        <w:t>la AFPC tenga una exposición a inversiones restringidas</w:t>
      </w:r>
      <w:r w:rsidRPr="00512403" w:rsidR="00C07B7F">
        <w:rPr>
          <w:b/>
          <w:bCs/>
          <w:sz w:val="16"/>
          <w:szCs w:val="16"/>
        </w:rPr>
        <w:t xml:space="preserve">. </w:t>
      </w:r>
      <w:r w:rsidRPr="00512403" w:rsidR="00BD6251">
        <w:rPr>
          <w:b/>
          <w:bCs/>
          <w:sz w:val="16"/>
          <w:szCs w:val="16"/>
        </w:rPr>
        <w:t xml:space="preserve">En el caso que la AFPC realice inversiones en </w:t>
      </w:r>
      <w:r w:rsidRPr="00512403" w:rsidR="00F27392">
        <w:rPr>
          <w:b/>
          <w:bCs/>
          <w:sz w:val="16"/>
          <w:szCs w:val="16"/>
        </w:rPr>
        <w:t>f</w:t>
      </w:r>
      <w:r w:rsidRPr="00512403" w:rsidR="00BD6251">
        <w:rPr>
          <w:b/>
          <w:bCs/>
          <w:sz w:val="16"/>
          <w:szCs w:val="16"/>
        </w:rPr>
        <w:t>ondos de fondos</w:t>
      </w:r>
      <w:r w:rsidRPr="00512403" w:rsidR="00AE2DE4">
        <w:rPr>
          <w:b/>
          <w:bCs/>
          <w:sz w:val="16"/>
          <w:szCs w:val="16"/>
        </w:rPr>
        <w:t xml:space="preserve"> u otros vehículos mediante los cuales la AFPC tenga una exposición a inversiones restringidas</w:t>
      </w:r>
      <w:r w:rsidRPr="00512403" w:rsidR="00A77FD8">
        <w:rPr>
          <w:b/>
          <w:bCs/>
          <w:sz w:val="16"/>
          <w:szCs w:val="16"/>
        </w:rPr>
        <w:t>,</w:t>
      </w:r>
      <w:r w:rsidRPr="00512403" w:rsidR="00BD6251">
        <w:rPr>
          <w:b/>
          <w:bCs/>
          <w:sz w:val="16"/>
          <w:szCs w:val="16"/>
        </w:rPr>
        <w:t xml:space="preserve"> </w:t>
      </w:r>
      <w:r w:rsidRPr="00512403" w:rsidR="00237DC8">
        <w:rPr>
          <w:b/>
          <w:bCs/>
          <w:sz w:val="16"/>
          <w:szCs w:val="16"/>
        </w:rPr>
        <w:t xml:space="preserve">el mecanismo debe permitir determinar la exposición </w:t>
      </w:r>
      <w:r w:rsidRPr="00512403" w:rsidR="233BBCC5">
        <w:rPr>
          <w:rFonts w:eastAsia="Arial" w:cs="Arial"/>
          <w:b/>
          <w:bCs/>
          <w:color w:val="000000" w:themeColor="text1"/>
          <w:sz w:val="16"/>
          <w:szCs w:val="16"/>
          <w:lang w:val="es-ES"/>
        </w:rPr>
        <w:t>del fondo subyacente a estas inversiones</w:t>
      </w:r>
      <w:r w:rsidRPr="00512403" w:rsidR="003E70FB">
        <w:rPr>
          <w:b/>
          <w:bCs/>
          <w:sz w:val="16"/>
          <w:szCs w:val="16"/>
        </w:rPr>
        <w:t>.</w:t>
      </w:r>
      <w:r w:rsidRPr="00512403" w:rsidR="00B31398">
        <w:rPr>
          <w:b/>
          <w:bCs/>
          <w:sz w:val="16"/>
          <w:szCs w:val="16"/>
        </w:rPr>
        <w:t xml:space="preserve"> </w:t>
      </w:r>
      <w:r w:rsidRPr="00512403" w:rsidR="006656AB">
        <w:rPr>
          <w:b/>
          <w:bCs/>
          <w:sz w:val="16"/>
          <w:szCs w:val="16"/>
        </w:rPr>
        <w:t xml:space="preserve">En el caso que </w:t>
      </w:r>
      <w:r w:rsidRPr="00512403" w:rsidR="00E16106">
        <w:rPr>
          <w:b/>
          <w:bCs/>
          <w:sz w:val="16"/>
          <w:szCs w:val="16"/>
        </w:rPr>
        <w:t>para el fondo subyacente no se cuente con información actualizada en los términos del subnu</w:t>
      </w:r>
      <w:r w:rsidRPr="00512403" w:rsidR="00B31398">
        <w:rPr>
          <w:b/>
          <w:bCs/>
          <w:sz w:val="16"/>
          <w:szCs w:val="16"/>
        </w:rPr>
        <w:t>m</w:t>
      </w:r>
      <w:r w:rsidRPr="00512403" w:rsidR="00E16106">
        <w:rPr>
          <w:b/>
          <w:bCs/>
          <w:sz w:val="16"/>
          <w:szCs w:val="16"/>
        </w:rPr>
        <w:t xml:space="preserve">eral </w:t>
      </w:r>
      <w:r w:rsidRPr="00512403" w:rsidR="00B31398">
        <w:rPr>
          <w:b/>
          <w:bCs/>
          <w:sz w:val="16"/>
          <w:szCs w:val="16"/>
        </w:rPr>
        <w:t>4.1.1 precedente, la AFPC debe tomar la máxima exposición permitida en este tipo de inversiones, según la política de inversión establecida en el reglamento</w:t>
      </w:r>
      <w:r w:rsidRPr="00512403" w:rsidR="00451568">
        <w:rPr>
          <w:b/>
          <w:bCs/>
          <w:sz w:val="16"/>
          <w:szCs w:val="16"/>
        </w:rPr>
        <w:t>.</w:t>
      </w:r>
    </w:p>
    <w:p w:rsidR="00B53199" w:rsidRPr="00512403" w:rsidP="00F0621B" w14:paraId="428E82B5" w14:textId="77777777">
      <w:pPr>
        <w:pBdr>
          <w:left w:val="single" w:sz="4" w:space="1" w:color="auto"/>
        </w:pBdr>
        <w:rPr>
          <w:b/>
          <w:bCs/>
          <w:sz w:val="16"/>
          <w:szCs w:val="16"/>
        </w:rPr>
      </w:pPr>
    </w:p>
    <w:p w:rsidR="008A222C" w:rsidRPr="006139AC" w:rsidP="00F0621B" w14:paraId="2421A461" w14:textId="19274190">
      <w:pPr>
        <w:pBdr>
          <w:left w:val="single" w:sz="4" w:space="1" w:color="auto"/>
        </w:pBdr>
        <w:rPr>
          <w:lang w:val="es-CO"/>
        </w:rPr>
        <w:sectPr w:rsidSect="00D60DAB">
          <w:footerReference w:type="default" r:id="rId12"/>
          <w:pgSz w:w="12242" w:h="20163" w:code="120"/>
          <w:pgMar w:top="1418" w:right="1469" w:bottom="1418" w:left="1701" w:header="1134" w:footer="1134" w:gutter="0"/>
          <w:pgNumType w:start="7"/>
          <w:cols w:space="708"/>
          <w:docGrid w:linePitch="360"/>
        </w:sectPr>
      </w:pPr>
      <w:r w:rsidRPr="00512403">
        <w:rPr>
          <w:b/>
          <w:bCs/>
          <w:sz w:val="16"/>
          <w:szCs w:val="16"/>
        </w:rPr>
        <w:t xml:space="preserve">En la determinación de la exposición real subyacente al tipo de </w:t>
      </w:r>
      <w:r w:rsidRPr="00512403" w:rsidR="006A23E8">
        <w:rPr>
          <w:b/>
          <w:bCs/>
          <w:sz w:val="16"/>
          <w:szCs w:val="16"/>
        </w:rPr>
        <w:t>f</w:t>
      </w:r>
      <w:r w:rsidRPr="00512403">
        <w:rPr>
          <w:b/>
          <w:bCs/>
          <w:sz w:val="16"/>
          <w:szCs w:val="16"/>
        </w:rPr>
        <w:t>ondo</w:t>
      </w:r>
      <w:r w:rsidRPr="00512403" w:rsidR="005E4BE4">
        <w:rPr>
          <w:b/>
          <w:bCs/>
          <w:sz w:val="16"/>
          <w:szCs w:val="16"/>
        </w:rPr>
        <w:t>,</w:t>
      </w:r>
      <w:r w:rsidRPr="00512403">
        <w:rPr>
          <w:b/>
          <w:bCs/>
          <w:sz w:val="16"/>
          <w:szCs w:val="16"/>
        </w:rPr>
        <w:t xml:space="preserve"> el </w:t>
      </w:r>
      <w:r w:rsidRPr="00512403" w:rsidR="005E4BE4">
        <w:rPr>
          <w:b/>
          <w:bCs/>
          <w:sz w:val="16"/>
          <w:szCs w:val="16"/>
        </w:rPr>
        <w:t>mecanismo debe definir el</w:t>
      </w:r>
      <w:r w:rsidRPr="00512403">
        <w:rPr>
          <w:b/>
          <w:bCs/>
          <w:sz w:val="16"/>
          <w:szCs w:val="16"/>
        </w:rPr>
        <w:t xml:space="preserve"> </w:t>
      </w:r>
      <w:r w:rsidRPr="00512403" w:rsidR="00763B8D">
        <w:rPr>
          <w:b/>
          <w:bCs/>
          <w:sz w:val="16"/>
          <w:szCs w:val="16"/>
        </w:rPr>
        <w:t xml:space="preserve">número de </w:t>
      </w:r>
      <w:r w:rsidRPr="00512403" w:rsidR="00A83126">
        <w:rPr>
          <w:b/>
          <w:bCs/>
          <w:sz w:val="16"/>
          <w:szCs w:val="16"/>
        </w:rPr>
        <w:t>veces</w:t>
      </w:r>
      <w:r w:rsidRPr="00512403" w:rsidR="00763B8D">
        <w:rPr>
          <w:b/>
          <w:bCs/>
          <w:sz w:val="16"/>
          <w:szCs w:val="16"/>
        </w:rPr>
        <w:t xml:space="preserve"> </w:t>
      </w:r>
      <w:r w:rsidRPr="00512403" w:rsidR="007A2A6A">
        <w:rPr>
          <w:b/>
          <w:bCs/>
          <w:sz w:val="16"/>
          <w:szCs w:val="16"/>
        </w:rPr>
        <w:t xml:space="preserve">que </w:t>
      </w:r>
      <w:r w:rsidRPr="00512403" w:rsidR="00C33E78">
        <w:rPr>
          <w:b/>
          <w:bCs/>
          <w:sz w:val="16"/>
          <w:szCs w:val="16"/>
        </w:rPr>
        <w:t xml:space="preserve">razonablemente </w:t>
      </w:r>
      <w:r w:rsidRPr="00512403" w:rsidR="007A2A6A">
        <w:rPr>
          <w:b/>
          <w:bCs/>
          <w:sz w:val="16"/>
          <w:szCs w:val="16"/>
        </w:rPr>
        <w:t xml:space="preserve">la AFPC requiere </w:t>
      </w:r>
      <w:r w:rsidRPr="00512403" w:rsidR="00EE4EA7">
        <w:rPr>
          <w:b/>
          <w:bCs/>
          <w:sz w:val="16"/>
          <w:szCs w:val="16"/>
        </w:rPr>
        <w:t>evaluar</w:t>
      </w:r>
      <w:r w:rsidRPr="00512403" w:rsidR="0073025B">
        <w:rPr>
          <w:b/>
          <w:bCs/>
          <w:sz w:val="16"/>
          <w:szCs w:val="16"/>
        </w:rPr>
        <w:t xml:space="preserve"> los activos subyacentes </w:t>
      </w:r>
      <w:r w:rsidRPr="00512403" w:rsidR="00EC7BBE">
        <w:rPr>
          <w:b/>
          <w:bCs/>
          <w:sz w:val="16"/>
          <w:szCs w:val="16"/>
        </w:rPr>
        <w:t>dentro de</w:t>
      </w:r>
      <w:r w:rsidRPr="00512403" w:rsidR="007A2A6A">
        <w:rPr>
          <w:b/>
          <w:bCs/>
          <w:sz w:val="16"/>
          <w:szCs w:val="16"/>
        </w:rPr>
        <w:t xml:space="preserve"> la composición de un vehículo </w:t>
      </w:r>
      <w:r w:rsidRPr="00512403" w:rsidR="00516A92">
        <w:rPr>
          <w:b/>
          <w:bCs/>
          <w:sz w:val="16"/>
          <w:szCs w:val="16"/>
        </w:rPr>
        <w:t xml:space="preserve">de inversión </w:t>
      </w:r>
      <w:r w:rsidRPr="00512403" w:rsidR="003135BD">
        <w:rPr>
          <w:b/>
          <w:bCs/>
          <w:sz w:val="16"/>
          <w:szCs w:val="16"/>
        </w:rPr>
        <w:t>u</w:t>
      </w:r>
      <w:r w:rsidRPr="00512403" w:rsidR="007A2A6A">
        <w:rPr>
          <w:b/>
          <w:bCs/>
          <w:sz w:val="16"/>
          <w:szCs w:val="16"/>
        </w:rPr>
        <w:t xml:space="preserve"> otro tipo de</w:t>
      </w:r>
      <w:r w:rsidRPr="00512403" w:rsidR="00516A92">
        <w:rPr>
          <w:b/>
          <w:bCs/>
          <w:sz w:val="16"/>
          <w:szCs w:val="16"/>
        </w:rPr>
        <w:t xml:space="preserve"> esquema de inversión indirecta</w:t>
      </w:r>
      <w:r w:rsidRPr="00512403" w:rsidR="00A20E0B">
        <w:rPr>
          <w:b/>
          <w:bCs/>
          <w:sz w:val="16"/>
          <w:szCs w:val="16"/>
        </w:rPr>
        <w:t>,</w:t>
      </w:r>
      <w:r w:rsidRPr="00512403" w:rsidR="007A2A6A">
        <w:rPr>
          <w:b/>
          <w:bCs/>
          <w:sz w:val="16"/>
          <w:szCs w:val="16"/>
        </w:rPr>
        <w:t xml:space="preserve"> </w:t>
      </w:r>
      <w:r w:rsidRPr="00512403" w:rsidR="009C59CD">
        <w:rPr>
          <w:b/>
          <w:bCs/>
          <w:sz w:val="16"/>
          <w:szCs w:val="16"/>
        </w:rPr>
        <w:t xml:space="preserve">con el fin de </w:t>
      </w:r>
      <w:r w:rsidRPr="00512403" w:rsidR="002849ED">
        <w:rPr>
          <w:b/>
          <w:bCs/>
          <w:sz w:val="16"/>
          <w:szCs w:val="16"/>
        </w:rPr>
        <w:t xml:space="preserve">establecer </w:t>
      </w:r>
      <w:r w:rsidRPr="00512403" w:rsidR="00FE1909">
        <w:rPr>
          <w:b/>
          <w:bCs/>
          <w:sz w:val="16"/>
          <w:szCs w:val="16"/>
        </w:rPr>
        <w:t>la participación</w:t>
      </w:r>
      <w:r w:rsidRPr="00512403" w:rsidR="00AE482C">
        <w:rPr>
          <w:b/>
          <w:bCs/>
          <w:sz w:val="16"/>
          <w:szCs w:val="16"/>
        </w:rPr>
        <w:t xml:space="preserve"> de la AFPC </w:t>
      </w:r>
      <w:r w:rsidR="00CE7FB0">
        <w:rPr>
          <w:b/>
          <w:bCs/>
          <w:sz w:val="16"/>
          <w:szCs w:val="16"/>
        </w:rPr>
        <w:t>en</w:t>
      </w:r>
      <w:r w:rsidRPr="00512403" w:rsidR="00AE482C">
        <w:rPr>
          <w:b/>
          <w:bCs/>
          <w:sz w:val="16"/>
          <w:szCs w:val="16"/>
        </w:rPr>
        <w:t xml:space="preserve"> activos considerados como inversiones restringidas</w:t>
      </w:r>
      <w:r w:rsidRPr="00512403" w:rsidR="005A088C">
        <w:rPr>
          <w:b/>
          <w:bCs/>
          <w:sz w:val="16"/>
          <w:szCs w:val="16"/>
        </w:rPr>
        <w:t>.</w:t>
      </w:r>
      <w:r w:rsidR="008E1D79">
        <w:rPr>
          <w:sz w:val="16"/>
          <w:szCs w:val="16"/>
        </w:rPr>
        <w:t xml:space="preserve"> </w:t>
      </w:r>
    </w:p>
    <w:p w:rsidR="00E62366" w:rsidRPr="005974F4" w:rsidP="00E62366" w14:paraId="038475EB" w14:textId="48C77F90">
      <w:pPr>
        <w:jc w:val="center"/>
        <w:rPr>
          <w:rFonts w:ascii="Arial" w:eastAsia="Times New Roman" w:hAnsi="Arial" w:cs="Times New Roman"/>
          <w:b/>
          <w:sz w:val="16"/>
          <w:szCs w:val="16"/>
          <w:lang w:val="es-ES" w:eastAsia="es-CO" w:bidi="ar-SA"/>
        </w:rPr>
      </w:pPr>
      <w:r>
        <w:rPr>
          <w:rFonts w:ascii="Arial" w:eastAsia="Times New Roman" w:hAnsi="Arial" w:cs="Times New Roman"/>
          <w:b/>
          <w:sz w:val="16"/>
          <w:szCs w:val="16"/>
          <w:lang w:val="es-ES" w:eastAsia="es-CO" w:bidi="ar-SA"/>
        </w:rPr>
        <w:t>P</w:t>
      </w:r>
      <w:r w:rsidRPr="005974F4">
        <w:rPr>
          <w:rFonts w:ascii="Arial" w:eastAsia="Times New Roman" w:hAnsi="Arial" w:cs="Times New Roman"/>
          <w:b/>
          <w:sz w:val="16"/>
          <w:szCs w:val="16"/>
          <w:lang w:val="es-ES" w:eastAsia="es-CO" w:bidi="ar-SA"/>
        </w:rPr>
        <w:t>ARTE II</w:t>
      </w:r>
    </w:p>
    <w:p w:rsidR="00E62366" w:rsidRPr="005974F4" w:rsidP="00E62366" w14:paraId="0BAC7CDC" w14:textId="77777777">
      <w:pPr>
        <w:jc w:val="center"/>
        <w:rPr>
          <w:rFonts w:ascii="Arial" w:eastAsia="Times New Roman" w:hAnsi="Arial" w:cs="Times New Roman"/>
          <w:b/>
          <w:sz w:val="16"/>
          <w:szCs w:val="16"/>
          <w:lang w:val="es-ES" w:eastAsia="es-CO" w:bidi="ar-SA"/>
        </w:rPr>
      </w:pPr>
      <w:r w:rsidRPr="005974F4">
        <w:rPr>
          <w:rFonts w:ascii="Arial" w:eastAsia="Times New Roman" w:hAnsi="Arial" w:cs="Times New Roman"/>
          <w:b/>
          <w:sz w:val="16"/>
          <w:szCs w:val="16"/>
          <w:lang w:val="es-ES" w:eastAsia="es-CO" w:bidi="ar-SA"/>
        </w:rPr>
        <w:t>MERCADO INTERMEDIADO</w:t>
      </w:r>
    </w:p>
    <w:p w:rsidR="00E62366" w:rsidRPr="005974F4" w:rsidP="00E62366" w14:paraId="733EB825" w14:textId="77777777">
      <w:pPr>
        <w:jc w:val="center"/>
        <w:rPr>
          <w:rFonts w:ascii="Arial" w:eastAsia="Times New Roman" w:hAnsi="Arial" w:cs="Times New Roman"/>
          <w:b/>
          <w:sz w:val="16"/>
          <w:szCs w:val="16"/>
          <w:lang w:val="es-ES" w:eastAsia="es-CO" w:bidi="ar-SA"/>
        </w:rPr>
      </w:pPr>
    </w:p>
    <w:p w:rsidR="00E62366" w:rsidRPr="005974F4" w:rsidP="00E62366" w14:paraId="482B546F" w14:textId="77777777">
      <w:pPr>
        <w:jc w:val="center"/>
        <w:rPr>
          <w:rFonts w:ascii="Arial" w:eastAsia="Times New Roman" w:hAnsi="Arial" w:cs="Times New Roman"/>
          <w:b/>
          <w:sz w:val="16"/>
          <w:szCs w:val="16"/>
          <w:lang w:val="es-ES" w:eastAsia="es-CO" w:bidi="ar-SA"/>
        </w:rPr>
      </w:pPr>
      <w:r w:rsidRPr="005974F4">
        <w:rPr>
          <w:rFonts w:ascii="Arial" w:eastAsia="Times New Roman" w:hAnsi="Arial" w:cs="Times New Roman"/>
          <w:b/>
          <w:sz w:val="16"/>
          <w:szCs w:val="16"/>
          <w:lang w:val="es-ES" w:eastAsia="es-CO" w:bidi="ar-SA"/>
        </w:rPr>
        <w:t>TÍTULO IV</w:t>
      </w:r>
    </w:p>
    <w:p w:rsidR="00E62366" w:rsidRPr="005974F4" w:rsidP="00E62366" w14:paraId="4152FCDE" w14:textId="77777777">
      <w:pPr>
        <w:jc w:val="center"/>
        <w:rPr>
          <w:rFonts w:ascii="Arial" w:eastAsia="Times New Roman" w:hAnsi="Arial" w:cs="Times New Roman"/>
          <w:b/>
          <w:sz w:val="16"/>
          <w:szCs w:val="16"/>
          <w:lang w:val="es-ES" w:eastAsia="es-CO" w:bidi="ar-SA"/>
        </w:rPr>
      </w:pPr>
      <w:r w:rsidRPr="005974F4">
        <w:rPr>
          <w:rFonts w:ascii="Arial" w:eastAsia="Times New Roman" w:hAnsi="Arial" w:cs="Times New Roman"/>
          <w:b/>
          <w:sz w:val="16"/>
          <w:szCs w:val="16"/>
          <w:lang w:val="es-ES" w:eastAsia="es-CO" w:bidi="ar-SA"/>
        </w:rPr>
        <w:t>INSTRUCCIONES GENERALES RELATIVAS A LAS OPERACIONES DE LAS ENTIDADES ASEGURADORAS, CAPITALIZACIÓN E INTERMEDIARIOS DE SEGUROS</w:t>
      </w:r>
    </w:p>
    <w:p w:rsidR="00E62366" w:rsidRPr="005974F4" w:rsidP="00E62366" w14:paraId="27BBA29F" w14:textId="77777777">
      <w:pPr>
        <w:jc w:val="center"/>
        <w:rPr>
          <w:rFonts w:ascii="Arial" w:eastAsia="Times New Roman" w:hAnsi="Arial" w:cs="Times New Roman"/>
          <w:b/>
          <w:sz w:val="16"/>
          <w:szCs w:val="16"/>
          <w:lang w:val="es-ES" w:eastAsia="es-CO" w:bidi="ar-SA"/>
        </w:rPr>
      </w:pPr>
    </w:p>
    <w:p w:rsidR="00E62366" w:rsidP="00E62366" w14:paraId="645A7CA9" w14:textId="77777777">
      <w:pPr>
        <w:jc w:val="center"/>
        <w:rPr>
          <w:rFonts w:ascii="Arial" w:eastAsia="Times New Roman" w:hAnsi="Arial" w:cs="Times New Roman"/>
          <w:b/>
          <w:sz w:val="16"/>
          <w:szCs w:val="16"/>
          <w:lang w:val="es-ES" w:eastAsia="es-CO" w:bidi="ar-SA"/>
        </w:rPr>
      </w:pPr>
      <w:r w:rsidRPr="005974F4">
        <w:rPr>
          <w:rFonts w:ascii="Arial" w:eastAsia="Times New Roman" w:hAnsi="Arial" w:cs="Times New Roman"/>
          <w:b/>
          <w:sz w:val="16"/>
          <w:szCs w:val="16"/>
          <w:lang w:val="es-ES" w:eastAsia="es-CO" w:bidi="ar-SA"/>
        </w:rPr>
        <w:t>CAPÍTULO I: DISPOSICIONES ESPECIALES APLICABLES A LAS SOCIEDADES CAPITALIZADORAS</w:t>
      </w:r>
    </w:p>
    <w:p w:rsidR="00E62366" w:rsidP="00E62366" w14:paraId="7E6D437F" w14:textId="77777777">
      <w:pPr>
        <w:jc w:val="left"/>
        <w:rPr>
          <w:rFonts w:ascii="Arial" w:eastAsia="Times New Roman" w:hAnsi="Arial" w:cs="Times New Roman"/>
          <w:b/>
          <w:sz w:val="16"/>
          <w:szCs w:val="16"/>
          <w:lang w:val="es-ES" w:eastAsia="es-CO" w:bidi="ar-SA"/>
        </w:rPr>
      </w:pPr>
    </w:p>
    <w:p w:rsidR="00E62366" w:rsidP="00E62366" w14:paraId="40C352C0" w14:textId="77777777">
      <w:pPr>
        <w:jc w:val="left"/>
        <w:rPr>
          <w:rFonts w:ascii="Arial" w:eastAsia="Times New Roman" w:hAnsi="Arial" w:cs="Times New Roman"/>
          <w:b/>
          <w:sz w:val="16"/>
          <w:szCs w:val="16"/>
          <w:lang w:val="es-ES" w:eastAsia="es-CO" w:bidi="ar-SA"/>
        </w:rPr>
      </w:pPr>
    </w:p>
    <w:p w:rsidR="00E62366" w:rsidRPr="00E62366" w:rsidP="00E62366" w14:paraId="204A7415" w14:textId="77777777">
      <w:pPr>
        <w:keepNext/>
        <w:keepLines/>
        <w:spacing w:before="0" w:after="0" w:line="276" w:lineRule="auto"/>
        <w:jc w:val="left"/>
        <w:outlineLvl w:val="9"/>
        <w:rPr>
          <w:rFonts w:ascii="Arial" w:eastAsia="Times New Roman" w:hAnsi="Arial" w:cs="Arial"/>
          <w:b/>
          <w:bCs/>
          <w:color w:val="auto"/>
          <w:kern w:val="0"/>
          <w:sz w:val="16"/>
          <w:szCs w:val="16"/>
          <w:lang w:val="es-CO" w:eastAsia="es-CO" w:bidi="ar-SA"/>
        </w:rPr>
      </w:pPr>
      <w:r w:rsidRPr="00E62366">
        <w:rPr>
          <w:rFonts w:ascii="Arial" w:eastAsia="Times New Roman" w:hAnsi="Arial" w:cs="Arial"/>
          <w:b/>
          <w:bCs/>
          <w:color w:val="auto"/>
          <w:kern w:val="0"/>
          <w:sz w:val="16"/>
          <w:szCs w:val="16"/>
          <w:lang w:val="es-ES" w:eastAsia="es-CO" w:bidi="ar-SA"/>
        </w:rPr>
        <w:t>CONTENIDO</w:t>
      </w:r>
    </w:p>
    <w:p w:rsidR="00F4699A" w:rsidRPr="00936FEA" w14:paraId="6354056B" w14:textId="77777777">
      <w:pPr>
        <w:tabs>
          <w:tab w:val="right" w:leader="dot" w:pos="8830"/>
        </w:tabs>
        <w:spacing w:before="240" w:after="120"/>
        <w:jc w:val="left"/>
        <w:rPr>
          <w:rFonts w:ascii="Cambria" w:eastAsia="MS Mincho" w:hAnsi="Cambria" w:cs="Times New Roman"/>
          <w:b w:val="0"/>
          <w:bCs w:val="0"/>
          <w:noProof/>
          <w:sz w:val="24"/>
          <w:szCs w:val="24"/>
          <w:lang w:val="es-ES_tradnl" w:eastAsia="ja-JP" w:bidi="ar-SA"/>
        </w:rPr>
      </w:pPr>
      <w:r w:rsidRPr="00E62366">
        <w:rPr>
          <w:rFonts w:ascii="Calibri" w:eastAsia="Times New Roman" w:hAnsi="Calibri" w:cs="Times New Roman"/>
          <w:b/>
          <w:bCs/>
          <w:sz w:val="20"/>
          <w:lang w:val="es-ES" w:eastAsia="es-CO" w:bidi="ar-SA"/>
        </w:rPr>
        <w:fldChar w:fldCharType="begin"/>
      </w:r>
      <w:r w:rsidRPr="00E62366">
        <w:rPr>
          <w:rFonts w:ascii="Calibri" w:eastAsia="Times New Roman" w:hAnsi="Calibri" w:cs="Times New Roman"/>
          <w:b/>
          <w:bCs/>
          <w:sz w:val="20"/>
          <w:lang w:val="es-ES" w:eastAsia="es-CO" w:bidi="ar-SA"/>
        </w:rPr>
        <w:instrText xml:space="preserve"> </w:instrText>
      </w:r>
      <w:r w:rsidR="006E76C8">
        <w:rPr>
          <w:rFonts w:ascii="Calibri" w:eastAsia="Times New Roman" w:hAnsi="Calibri" w:cs="Times New Roman"/>
          <w:b/>
          <w:bCs/>
          <w:sz w:val="20"/>
          <w:lang w:val="es-ES" w:eastAsia="es-CO" w:bidi="ar-SA"/>
        </w:rPr>
        <w:instrText>TOC</w:instrText>
      </w:r>
      <w:r w:rsidRPr="00E62366">
        <w:rPr>
          <w:rFonts w:ascii="Calibri" w:eastAsia="Times New Roman" w:hAnsi="Calibri" w:cs="Times New Roman"/>
          <w:b/>
          <w:bCs/>
          <w:sz w:val="20"/>
          <w:lang w:val="es-ES" w:eastAsia="es-CO" w:bidi="ar-SA"/>
        </w:rPr>
        <w:instrText xml:space="preserve"> \o "1-2" \h \z \u </w:instrText>
      </w:r>
      <w:r w:rsidRPr="00E62366">
        <w:rPr>
          <w:rFonts w:ascii="Calibri" w:eastAsia="Times New Roman" w:hAnsi="Calibri" w:cs="Times New Roman"/>
          <w:b/>
          <w:bCs/>
          <w:sz w:val="20"/>
          <w:lang w:val="es-ES" w:eastAsia="es-CO" w:bidi="ar-SA"/>
        </w:rPr>
        <w:fldChar w:fldCharType="separate"/>
      </w:r>
      <w:r>
        <w:rPr>
          <w:rFonts w:ascii="Arial" w:eastAsia="Times New Roman" w:hAnsi="Arial" w:cs="Times New Roman"/>
          <w:b/>
          <w:bCs/>
          <w:noProof/>
          <w:sz w:val="16"/>
          <w:lang w:val="es-ES" w:eastAsia="es-CO" w:bidi="ar-SA"/>
        </w:rPr>
        <w:t>1. PLANES DE CAPITALIZACIÓN</w:t>
      </w:r>
    </w:p>
    <w:p w:rsidR="00F4699A" w:rsidRPr="00936FEA" w14:paraId="2960D821" w14:textId="77777777">
      <w:pPr>
        <w:tabs>
          <w:tab w:val="right" w:leader="dot" w:pos="8830"/>
        </w:tabs>
        <w:spacing w:before="240" w:after="120"/>
        <w:jc w:val="left"/>
        <w:rPr>
          <w:rFonts w:ascii="Cambria" w:eastAsia="MS Mincho" w:hAnsi="Cambria" w:cs="Times New Roman"/>
          <w:b w:val="0"/>
          <w:bCs w:val="0"/>
          <w:noProof/>
          <w:sz w:val="24"/>
          <w:szCs w:val="24"/>
          <w:lang w:val="es-ES_tradnl" w:eastAsia="ja-JP" w:bidi="ar-SA"/>
        </w:rPr>
      </w:pPr>
      <w:r>
        <w:rPr>
          <w:rFonts w:ascii="Arial" w:eastAsia="Times New Roman" w:hAnsi="Arial" w:cs="Times New Roman"/>
          <w:b/>
          <w:bCs/>
          <w:noProof/>
          <w:sz w:val="16"/>
          <w:lang w:val="es-ES" w:eastAsia="es-CO" w:bidi="ar-SA"/>
        </w:rPr>
        <w:t>2. CONDICIONES DE LOS CONTRATOS</w:t>
      </w:r>
    </w:p>
    <w:p w:rsidR="00F4699A" w:rsidRPr="00936FEA" w14:paraId="03501FF1" w14:textId="77777777">
      <w:pPr>
        <w:tabs>
          <w:tab w:val="right" w:leader="dot" w:pos="8830"/>
        </w:tabs>
        <w:ind w:left="240"/>
        <w:jc w:val="both"/>
        <w:rPr>
          <w:rFonts w:ascii="Cambria" w:eastAsia="MS Mincho" w:hAnsi="Cambria" w:cs="Times New Roman"/>
          <w:iCs w:val="0"/>
          <w:noProof/>
          <w:sz w:val="24"/>
          <w:szCs w:val="24"/>
          <w:lang w:val="es-ES_tradnl" w:eastAsia="ja-JP" w:bidi="ar-SA"/>
        </w:rPr>
      </w:pPr>
      <w:r>
        <w:rPr>
          <w:rFonts w:ascii="Arial" w:eastAsia="Times New Roman" w:hAnsi="Arial" w:cs="Times New Roman"/>
          <w:iCs/>
          <w:noProof/>
          <w:sz w:val="16"/>
          <w:lang w:val="es-ES" w:eastAsia="es-CO" w:bidi="ar-SA"/>
        </w:rPr>
        <w:t>2.1. Contenido de los títulos</w:t>
      </w:r>
    </w:p>
    <w:p w:rsidR="00F4699A" w:rsidRPr="00936FEA" w14:paraId="33E60BA3" w14:textId="77777777">
      <w:pPr>
        <w:tabs>
          <w:tab w:val="right" w:leader="dot" w:pos="8830"/>
        </w:tabs>
        <w:ind w:left="240"/>
        <w:jc w:val="both"/>
        <w:rPr>
          <w:rFonts w:ascii="Cambria" w:eastAsia="MS Mincho" w:hAnsi="Cambria" w:cs="Times New Roman"/>
          <w:iCs w:val="0"/>
          <w:noProof/>
          <w:sz w:val="24"/>
          <w:szCs w:val="24"/>
          <w:lang w:val="es-ES_tradnl" w:eastAsia="ja-JP" w:bidi="ar-SA"/>
        </w:rPr>
      </w:pPr>
      <w:r>
        <w:rPr>
          <w:rFonts w:ascii="Arial" w:eastAsia="Times New Roman" w:hAnsi="Arial" w:cs="Times New Roman"/>
          <w:iCs/>
          <w:noProof/>
          <w:sz w:val="16"/>
          <w:lang w:val="es-ES" w:eastAsia="es-CO" w:bidi="ar-SA"/>
        </w:rPr>
        <w:t>2.2. Condiciones de las notas técnicas</w:t>
      </w:r>
    </w:p>
    <w:p w:rsidR="00F4699A" w:rsidRPr="00936FEA" w14:paraId="1B5930B4" w14:textId="77777777">
      <w:pPr>
        <w:tabs>
          <w:tab w:val="right" w:leader="dot" w:pos="8830"/>
        </w:tabs>
        <w:ind w:left="240"/>
        <w:jc w:val="both"/>
        <w:rPr>
          <w:rFonts w:ascii="Cambria" w:eastAsia="MS Mincho" w:hAnsi="Cambria" w:cs="Times New Roman"/>
          <w:iCs w:val="0"/>
          <w:noProof/>
          <w:sz w:val="24"/>
          <w:szCs w:val="24"/>
          <w:lang w:val="es-ES_tradnl" w:eastAsia="ja-JP" w:bidi="ar-SA"/>
        </w:rPr>
      </w:pPr>
      <w:r>
        <w:rPr>
          <w:rFonts w:ascii="Arial" w:eastAsia="Times New Roman" w:hAnsi="Arial" w:cs="Times New Roman"/>
          <w:iCs/>
          <w:noProof/>
          <w:sz w:val="16"/>
          <w:lang w:val="es-ES" w:eastAsia="es-CO" w:bidi="ar-SA"/>
        </w:rPr>
        <w:t>2.3. Intereses</w:t>
      </w:r>
    </w:p>
    <w:p w:rsidR="00F4699A" w:rsidRPr="00936FEA" w14:paraId="47AE349E" w14:textId="77777777">
      <w:pPr>
        <w:tabs>
          <w:tab w:val="right" w:leader="dot" w:pos="8830"/>
        </w:tabs>
        <w:ind w:left="240"/>
        <w:jc w:val="both"/>
        <w:rPr>
          <w:rFonts w:ascii="Cambria" w:eastAsia="MS Mincho" w:hAnsi="Cambria" w:cs="Times New Roman"/>
          <w:iCs w:val="0"/>
          <w:noProof/>
          <w:sz w:val="24"/>
          <w:szCs w:val="24"/>
          <w:lang w:val="es-ES_tradnl" w:eastAsia="ja-JP" w:bidi="ar-SA"/>
        </w:rPr>
      </w:pPr>
      <w:r>
        <w:rPr>
          <w:rFonts w:ascii="Arial" w:eastAsia="Times New Roman" w:hAnsi="Arial" w:cs="Times New Roman"/>
          <w:iCs/>
          <w:noProof/>
          <w:sz w:val="16"/>
          <w:lang w:val="es-ES" w:eastAsia="es-CO" w:bidi="ar-SA"/>
        </w:rPr>
        <w:t>2.4. Sorteos de capitalización</w:t>
      </w:r>
    </w:p>
    <w:p w:rsidR="00F4699A" w:rsidRPr="00936FEA" w:rsidP="000046EF" w14:paraId="01257954" w14:textId="77777777">
      <w:pPr>
        <w:tabs>
          <w:tab w:val="left" w:pos="7048"/>
          <w:tab w:val="clear" w:pos="8830"/>
        </w:tabs>
        <w:ind w:left="240"/>
        <w:jc w:val="both"/>
        <w:rPr>
          <w:rFonts w:ascii="Cambria" w:eastAsia="MS Mincho" w:hAnsi="Cambria" w:cs="Times New Roman"/>
          <w:iCs w:val="0"/>
          <w:noProof/>
          <w:sz w:val="24"/>
          <w:szCs w:val="24"/>
          <w:lang w:val="es-ES_tradnl" w:eastAsia="ja-JP" w:bidi="ar-SA"/>
        </w:rPr>
      </w:pPr>
      <w:r>
        <w:rPr>
          <w:rFonts w:ascii="Arial" w:eastAsia="Times New Roman" w:hAnsi="Arial" w:cs="Times New Roman"/>
          <w:iCs/>
          <w:noProof/>
          <w:sz w:val="16"/>
          <w:lang w:val="es-ES" w:eastAsia="es-CO" w:bidi="ar-SA"/>
        </w:rPr>
        <w:t>2.5. Conservación de títulos e información</w:t>
      </w:r>
      <w:r w:rsidR="000046EF">
        <w:rPr>
          <w:rFonts w:ascii="Arial" w:eastAsia="Times New Roman" w:hAnsi="Arial" w:cs="Times New Roman"/>
          <w:iCs/>
          <w:noProof/>
          <w:sz w:val="16"/>
          <w:lang w:val="es-ES" w:eastAsia="es-CO" w:bidi="ar-SA"/>
        </w:rPr>
        <w:tab/>
      </w:r>
    </w:p>
    <w:p w:rsidR="00F4699A" w:rsidRPr="00936FEA" w14:paraId="15AC3C86" w14:textId="77777777">
      <w:pPr>
        <w:tabs>
          <w:tab w:val="right" w:leader="dot" w:pos="8830"/>
        </w:tabs>
        <w:spacing w:before="240" w:after="120"/>
        <w:jc w:val="left"/>
        <w:rPr>
          <w:rFonts w:ascii="Cambria" w:eastAsia="MS Mincho" w:hAnsi="Cambria" w:cs="Times New Roman"/>
          <w:b w:val="0"/>
          <w:bCs w:val="0"/>
          <w:noProof/>
          <w:sz w:val="24"/>
          <w:szCs w:val="24"/>
          <w:lang w:val="es-ES_tradnl" w:eastAsia="ja-JP" w:bidi="ar-SA"/>
        </w:rPr>
      </w:pPr>
      <w:r>
        <w:rPr>
          <w:rFonts w:ascii="Arial" w:eastAsia="Times New Roman" w:hAnsi="Arial" w:cs="Times New Roman"/>
          <w:b/>
          <w:bCs/>
          <w:noProof/>
          <w:sz w:val="16"/>
          <w:lang w:val="es-ES" w:eastAsia="es-CO" w:bidi="ar-SA"/>
        </w:rPr>
        <w:t>3. REGLAS APLICABLES AL RÉGIMEN DE LAS RESERVAS</w:t>
      </w:r>
    </w:p>
    <w:p w:rsidR="00F4699A" w:rsidRPr="00936FEA" w14:paraId="0B9A8C38" w14:textId="77777777">
      <w:pPr>
        <w:tabs>
          <w:tab w:val="right" w:leader="dot" w:pos="8830"/>
        </w:tabs>
        <w:ind w:left="240"/>
        <w:jc w:val="both"/>
        <w:rPr>
          <w:rFonts w:ascii="Cambria" w:eastAsia="MS Mincho" w:hAnsi="Cambria" w:cs="Times New Roman"/>
          <w:iCs w:val="0"/>
          <w:noProof/>
          <w:sz w:val="24"/>
          <w:szCs w:val="24"/>
          <w:lang w:val="es-ES_tradnl" w:eastAsia="ja-JP" w:bidi="ar-SA"/>
        </w:rPr>
      </w:pPr>
      <w:r>
        <w:rPr>
          <w:rFonts w:ascii="Arial" w:eastAsia="Times New Roman" w:hAnsi="Arial" w:cs="Times New Roman"/>
          <w:iCs/>
          <w:noProof/>
          <w:sz w:val="16"/>
          <w:lang w:val="es-ES" w:eastAsia="es-CO" w:bidi="ar-SA"/>
        </w:rPr>
        <w:t>3.1. Remisión de cálculos de la reserva matemática</w:t>
      </w:r>
    </w:p>
    <w:p w:rsidR="00F4699A" w:rsidRPr="00A60BB1" w14:paraId="4301ED6A" w14:textId="77777777">
      <w:pPr>
        <w:tabs>
          <w:tab w:val="right" w:leader="dot" w:pos="8830"/>
        </w:tabs>
        <w:ind w:left="240"/>
        <w:jc w:val="both"/>
        <w:rPr>
          <w:rFonts w:ascii="Arial" w:eastAsia="Times New Roman" w:hAnsi="Arial" w:cs="Times New Roman"/>
          <w:iCs/>
          <w:noProof/>
          <w:sz w:val="16"/>
          <w:lang w:val="es-ES" w:eastAsia="es-CO" w:bidi="ar-SA"/>
        </w:rPr>
      </w:pPr>
      <w:r>
        <w:rPr>
          <w:rFonts w:ascii="Arial" w:eastAsia="Times New Roman" w:hAnsi="Arial" w:cs="Times New Roman"/>
          <w:iCs/>
          <w:noProof/>
          <w:sz w:val="16"/>
          <w:lang w:val="es-ES" w:eastAsia="es-CO" w:bidi="ar-SA"/>
        </w:rPr>
        <w:t>3.2. Improcedencia de constitución de reservas técnicas</w:t>
      </w:r>
    </w:p>
    <w:p w:rsidR="00F4699A" w:rsidRPr="00A60BB1" w14:paraId="3BFDCC05" w14:textId="77777777">
      <w:pPr>
        <w:tabs>
          <w:tab w:val="right" w:leader="dot" w:pos="8830"/>
        </w:tabs>
        <w:ind w:left="240"/>
        <w:jc w:val="both"/>
        <w:rPr>
          <w:rFonts w:ascii="Arial" w:eastAsia="Times New Roman" w:hAnsi="Arial" w:cs="Times New Roman"/>
          <w:iCs/>
          <w:noProof/>
          <w:sz w:val="16"/>
          <w:lang w:val="es-ES" w:eastAsia="es-CO" w:bidi="ar-SA"/>
        </w:rPr>
      </w:pPr>
      <w:r>
        <w:rPr>
          <w:rFonts w:ascii="Arial" w:eastAsia="Times New Roman" w:hAnsi="Arial" w:cs="Times New Roman"/>
          <w:iCs/>
          <w:noProof/>
          <w:sz w:val="16"/>
          <w:lang w:val="es-ES" w:eastAsia="es-CO" w:bidi="ar-SA"/>
        </w:rPr>
        <w:t xml:space="preserve">3.3. Reglas sobre calificación mínima y cuantificación del riesgo crediticio de las inversiones que respalden reservas </w:t>
      </w:r>
      <w:r w:rsidRPr="00A60BB1">
        <w:rPr>
          <w:rFonts w:ascii="Arial" w:eastAsia="Times New Roman" w:hAnsi="Arial" w:cs="Times New Roman"/>
          <w:iCs/>
          <w:noProof/>
          <w:sz w:val="16"/>
          <w:lang w:val="es-ES" w:eastAsia="es-CO" w:bidi="ar-SA"/>
        </w:rPr>
        <w:t>técnicas</w:t>
      </w:r>
      <w:r w:rsidRPr="00A60BB1" w:rsidR="008F1973">
        <w:rPr>
          <w:rFonts w:ascii="Arial" w:eastAsia="Times New Roman" w:hAnsi="Arial" w:cs="Times New Roman"/>
          <w:iCs/>
          <w:noProof/>
          <w:sz w:val="16"/>
          <w:lang w:val="es-ES" w:eastAsia="es-CO" w:bidi="ar-SA"/>
        </w:rPr>
        <w:t>.</w:t>
      </w:r>
    </w:p>
    <w:p w:rsidR="00337367" w:rsidP="00A60BB1" w14:paraId="1288A925" w14:textId="77777777">
      <w:pPr>
        <w:pBdr>
          <w:left w:val="single" w:sz="4" w:space="4" w:color="auto"/>
        </w:pBdr>
        <w:tabs>
          <w:tab w:val="right" w:leader="dot" w:pos="8830"/>
        </w:tabs>
        <w:ind w:left="240"/>
        <w:jc w:val="both"/>
        <w:rPr>
          <w:rFonts w:ascii="Arial" w:eastAsia="Times New Roman" w:hAnsi="Arial" w:cs="Times New Roman"/>
          <w:b/>
          <w:bCs/>
          <w:iCs/>
          <w:noProof/>
          <w:sz w:val="16"/>
          <w:lang w:val="es-ES" w:eastAsia="es-CO" w:bidi="ar-SA"/>
        </w:rPr>
      </w:pPr>
      <w:r w:rsidRPr="00A60BB1">
        <w:rPr>
          <w:rFonts w:ascii="Arial" w:eastAsia="Times New Roman" w:hAnsi="Arial" w:cs="Times New Roman"/>
          <w:b/>
          <w:bCs/>
          <w:iCs/>
          <w:noProof/>
          <w:sz w:val="16"/>
          <w:lang w:val="es-ES" w:eastAsia="es-CO" w:bidi="ar-SA"/>
        </w:rPr>
        <w:t xml:space="preserve">3.4. </w:t>
      </w:r>
      <w:r w:rsidRPr="00A60BB1" w:rsidR="00A60BB1">
        <w:rPr>
          <w:rFonts w:ascii="Arial" w:eastAsia="Times New Roman" w:hAnsi="Arial" w:cs="Times New Roman"/>
          <w:b/>
          <w:bCs/>
          <w:iCs/>
          <w:noProof/>
          <w:sz w:val="16"/>
          <w:lang w:val="es-ES" w:eastAsia="es-CO" w:bidi="ar-SA"/>
        </w:rPr>
        <w:t>Proceso de inversión y gestión de las inversiones</w:t>
      </w:r>
    </w:p>
    <w:p w:rsidR="00337367" w:rsidP="00337367" w14:paraId="1FCDB54E" w14:textId="77777777">
      <w:pPr>
        <w:pBdr>
          <w:left w:val="single" w:sz="4" w:space="4" w:color="auto"/>
        </w:pBdr>
        <w:tabs>
          <w:tab w:val="right" w:leader="dot" w:pos="8830"/>
        </w:tabs>
        <w:ind w:left="240"/>
        <w:jc w:val="both"/>
        <w:rPr>
          <w:rFonts w:ascii="Arial" w:eastAsia="Times New Roman" w:hAnsi="Arial" w:cs="Times New Roman"/>
          <w:b/>
          <w:bCs/>
          <w:iCs/>
          <w:noProof/>
          <w:sz w:val="16"/>
          <w:lang w:val="es-ES" w:eastAsia="es-CO" w:bidi="ar-SA"/>
        </w:rPr>
      </w:pPr>
      <w:r w:rsidRPr="00A60BB1">
        <w:rPr>
          <w:rFonts w:ascii="Arial" w:eastAsia="Times New Roman" w:hAnsi="Arial" w:cs="Times New Roman"/>
          <w:b/>
          <w:bCs/>
          <w:iCs/>
          <w:noProof/>
          <w:sz w:val="16"/>
          <w:lang w:val="es-ES" w:eastAsia="es-CO" w:bidi="ar-SA"/>
        </w:rPr>
        <w:t>3.5. Control de límites de inversión</w:t>
      </w:r>
    </w:p>
    <w:p w:rsidR="008F1973" w:rsidP="00337367" w14:paraId="31B1220A" w14:textId="77777777">
      <w:pPr>
        <w:pBdr>
          <w:left w:val="single" w:sz="4" w:space="4" w:color="auto"/>
        </w:pBdr>
        <w:tabs>
          <w:tab w:val="right" w:leader="dot" w:pos="8830"/>
        </w:tabs>
        <w:ind w:left="240"/>
        <w:jc w:val="both"/>
        <w:rPr>
          <w:rFonts w:ascii="Arial" w:eastAsia="Times New Roman" w:hAnsi="Arial" w:cs="Times New Roman"/>
          <w:b/>
          <w:bCs/>
          <w:iCs/>
          <w:noProof/>
          <w:sz w:val="16"/>
          <w:lang w:val="es-ES" w:eastAsia="es-CO" w:bidi="ar-SA"/>
        </w:rPr>
      </w:pPr>
      <w:r w:rsidRPr="00337367">
        <w:rPr>
          <w:rFonts w:ascii="Arial" w:eastAsia="Times New Roman" w:hAnsi="Arial" w:cs="Times New Roman"/>
          <w:b/>
          <w:bCs/>
          <w:iCs/>
          <w:noProof/>
          <w:sz w:val="16"/>
          <w:lang w:val="es-ES" w:eastAsia="es-CO" w:bidi="ar-SA"/>
        </w:rPr>
        <w:t>3.6. Funciones de la auditoría interna</w:t>
      </w:r>
    </w:p>
    <w:p w:rsidR="00337367" w:rsidRPr="00EE2660" w:rsidP="00266ABE" w14:paraId="7373B604" w14:textId="77777777">
      <w:pPr>
        <w:pStyle w:val="ListParagraph"/>
        <w:pBdr>
          <w:left w:val="single" w:sz="4" w:space="4" w:color="auto"/>
        </w:pBdr>
        <w:ind w:left="240"/>
        <w:contextualSpacing/>
        <w:jc w:val="both"/>
        <w:rPr>
          <w:rFonts w:ascii="Arial" w:eastAsia="Times New Roman" w:hAnsi="Arial" w:cs="Arial"/>
          <w:b/>
          <w:sz w:val="16"/>
          <w:szCs w:val="16"/>
          <w:lang w:val="es-ES" w:eastAsia="es-CO" w:bidi="ar-SA"/>
        </w:rPr>
      </w:pPr>
      <w:r>
        <w:rPr>
          <w:rFonts w:ascii="Arial" w:eastAsia="Times New Roman" w:hAnsi="Arial" w:cs="Arial"/>
          <w:b/>
          <w:sz w:val="16"/>
          <w:szCs w:val="16"/>
          <w:lang w:val="es-ES" w:eastAsia="es-CO" w:bidi="ar-SA"/>
        </w:rPr>
        <w:t>3</w:t>
      </w:r>
      <w:r w:rsidRPr="00EE2660">
        <w:rPr>
          <w:rFonts w:ascii="Arial" w:eastAsia="Times New Roman" w:hAnsi="Arial" w:cs="Arial"/>
          <w:b/>
          <w:sz w:val="16"/>
          <w:szCs w:val="16"/>
          <w:lang w:val="es-ES" w:eastAsia="es-CO" w:bidi="ar-SA"/>
        </w:rPr>
        <w:t>.</w:t>
      </w:r>
      <w:r w:rsidRPr="7CE1DF5A">
        <w:rPr>
          <w:rFonts w:ascii="Arial" w:eastAsia="Times New Roman" w:hAnsi="Arial" w:cs="Arial"/>
          <w:b/>
          <w:bCs/>
          <w:sz w:val="16"/>
          <w:szCs w:val="16"/>
          <w:lang w:val="es-ES" w:eastAsia="es-CO" w:bidi="ar-SA"/>
        </w:rPr>
        <w:t>7</w:t>
      </w:r>
      <w:r w:rsidRPr="00EE2660">
        <w:rPr>
          <w:rFonts w:ascii="Arial" w:eastAsia="Times New Roman" w:hAnsi="Arial" w:cs="Arial"/>
          <w:b/>
          <w:sz w:val="16"/>
          <w:szCs w:val="16"/>
          <w:lang w:val="es-ES" w:eastAsia="es-CO" w:bidi="ar-SA"/>
        </w:rPr>
        <w:t xml:space="preserve"> Control de límites de inversión</w:t>
      </w:r>
    </w:p>
    <w:p w:rsidR="00F4699A" w:rsidRPr="00936FEA" w14:paraId="53FC1E07" w14:textId="77777777">
      <w:pPr>
        <w:tabs>
          <w:tab w:val="right" w:leader="dot" w:pos="8830"/>
        </w:tabs>
        <w:spacing w:before="240" w:after="120"/>
        <w:jc w:val="left"/>
        <w:rPr>
          <w:rFonts w:ascii="Cambria" w:eastAsia="MS Mincho" w:hAnsi="Cambria" w:cs="Times New Roman"/>
          <w:b w:val="0"/>
          <w:bCs w:val="0"/>
          <w:noProof/>
          <w:sz w:val="24"/>
          <w:szCs w:val="24"/>
          <w:lang w:val="es-ES_tradnl" w:eastAsia="ja-JP" w:bidi="ar-SA"/>
        </w:rPr>
      </w:pPr>
      <w:r>
        <w:rPr>
          <w:rFonts w:ascii="Arial" w:eastAsia="Times New Roman" w:hAnsi="Arial" w:cs="Times New Roman"/>
          <w:b/>
          <w:bCs/>
          <w:noProof/>
          <w:sz w:val="16"/>
          <w:lang w:val="es-ES" w:eastAsia="es-CO" w:bidi="ar-SA"/>
        </w:rPr>
        <w:t>4. NOTIFICACIÓN DE ENTREGA DE LOS RECURSOS</w:t>
      </w:r>
    </w:p>
    <w:p w:rsidR="00E62366" w14:paraId="0A18DAD9" w14:textId="77777777">
      <w:pPr>
        <w:jc w:val="left"/>
        <w:rPr>
          <w:rFonts w:ascii="Arial" w:eastAsia="Times New Roman" w:hAnsi="Arial" w:cs="Times New Roman"/>
          <w:sz w:val="24"/>
          <w:lang w:val="es-ES" w:eastAsia="es-CO" w:bidi="ar-SA"/>
        </w:rPr>
      </w:pPr>
      <w:r w:rsidRPr="00E62366">
        <w:rPr>
          <w:rFonts w:ascii="Calibri" w:eastAsia="Times New Roman" w:hAnsi="Calibri" w:cs="Times New Roman"/>
          <w:sz w:val="20"/>
          <w:lang w:val="es-ES" w:eastAsia="es-CO" w:bidi="ar-SA"/>
        </w:rPr>
        <w:fldChar w:fldCharType="end"/>
      </w:r>
    </w:p>
    <w:p w:rsidR="00E62366" w:rsidP="00E62366" w14:paraId="7690644F" w14:textId="77777777">
      <w:pPr>
        <w:jc w:val="left"/>
        <w:rPr>
          <w:rFonts w:ascii="Arial" w:eastAsia="Times New Roman" w:hAnsi="Arial" w:cs="Times New Roman"/>
          <w:b/>
          <w:sz w:val="16"/>
          <w:szCs w:val="16"/>
          <w:lang w:val="es-ES" w:eastAsia="es-CO" w:bidi="ar-SA"/>
        </w:rPr>
      </w:pPr>
    </w:p>
    <w:p w:rsidR="00E62366" w:rsidP="005974F4" w14:paraId="1C6534B8" w14:textId="77777777">
      <w:pPr>
        <w:jc w:val="center"/>
        <w:rPr>
          <w:rFonts w:ascii="Arial" w:eastAsia="Times New Roman" w:hAnsi="Arial" w:cs="Times New Roman"/>
          <w:b/>
          <w:sz w:val="16"/>
          <w:szCs w:val="16"/>
          <w:lang w:val="es-ES" w:eastAsia="es-CO" w:bidi="ar-SA"/>
        </w:rPr>
      </w:pPr>
    </w:p>
    <w:p w:rsidR="00E62366" w:rsidP="005974F4" w14:paraId="71A440CC" w14:textId="77777777">
      <w:pPr>
        <w:jc w:val="center"/>
        <w:rPr>
          <w:rFonts w:ascii="Arial" w:eastAsia="Times New Roman" w:hAnsi="Arial" w:cs="Times New Roman"/>
          <w:b/>
          <w:sz w:val="16"/>
          <w:szCs w:val="16"/>
          <w:lang w:val="es-ES" w:eastAsia="es-CO" w:bidi="ar-SA"/>
        </w:rPr>
      </w:pPr>
    </w:p>
    <w:p w:rsidR="00E62366" w:rsidP="005974F4" w14:paraId="4556B6AA" w14:textId="77777777">
      <w:pPr>
        <w:jc w:val="center"/>
        <w:rPr>
          <w:rFonts w:ascii="Arial" w:eastAsia="Times New Roman" w:hAnsi="Arial" w:cs="Times New Roman"/>
          <w:b/>
          <w:sz w:val="16"/>
          <w:szCs w:val="16"/>
          <w:lang w:val="es-ES" w:eastAsia="es-CO" w:bidi="ar-SA"/>
        </w:rPr>
      </w:pPr>
    </w:p>
    <w:p w:rsidR="00E62366" w:rsidP="005974F4" w14:paraId="2AAA689B" w14:textId="77777777">
      <w:pPr>
        <w:jc w:val="center"/>
        <w:rPr>
          <w:rFonts w:ascii="Arial" w:eastAsia="Times New Roman" w:hAnsi="Arial" w:cs="Times New Roman"/>
          <w:b/>
          <w:sz w:val="16"/>
          <w:szCs w:val="16"/>
          <w:lang w:val="es-ES" w:eastAsia="es-CO" w:bidi="ar-SA"/>
        </w:rPr>
      </w:pPr>
    </w:p>
    <w:p w:rsidR="00E62366" w:rsidP="005974F4" w14:paraId="667BDBC5" w14:textId="77777777">
      <w:pPr>
        <w:jc w:val="center"/>
        <w:rPr>
          <w:rFonts w:ascii="Arial" w:eastAsia="Times New Roman" w:hAnsi="Arial" w:cs="Times New Roman"/>
          <w:b/>
          <w:sz w:val="16"/>
          <w:szCs w:val="16"/>
          <w:lang w:val="es-ES" w:eastAsia="es-CO" w:bidi="ar-SA"/>
        </w:rPr>
      </w:pPr>
    </w:p>
    <w:p w:rsidR="00E62366" w:rsidP="005974F4" w14:paraId="38AB1020" w14:textId="77777777">
      <w:pPr>
        <w:jc w:val="center"/>
        <w:rPr>
          <w:rFonts w:ascii="Arial" w:eastAsia="Times New Roman" w:hAnsi="Arial" w:cs="Times New Roman"/>
          <w:b/>
          <w:sz w:val="16"/>
          <w:szCs w:val="16"/>
          <w:lang w:val="es-ES" w:eastAsia="es-CO" w:bidi="ar-SA"/>
        </w:rPr>
      </w:pPr>
    </w:p>
    <w:p w:rsidR="00E62366" w:rsidP="005974F4" w14:paraId="15966342" w14:textId="77777777">
      <w:pPr>
        <w:jc w:val="center"/>
        <w:rPr>
          <w:rFonts w:ascii="Arial" w:eastAsia="Times New Roman" w:hAnsi="Arial" w:cs="Times New Roman"/>
          <w:b/>
          <w:sz w:val="16"/>
          <w:szCs w:val="16"/>
          <w:lang w:val="es-ES" w:eastAsia="es-CO" w:bidi="ar-SA"/>
        </w:rPr>
      </w:pPr>
    </w:p>
    <w:p w:rsidR="00E62366" w:rsidP="005974F4" w14:paraId="456AA754" w14:textId="77777777">
      <w:pPr>
        <w:jc w:val="center"/>
        <w:rPr>
          <w:rFonts w:ascii="Arial" w:eastAsia="Times New Roman" w:hAnsi="Arial" w:cs="Times New Roman"/>
          <w:b/>
          <w:sz w:val="16"/>
          <w:szCs w:val="16"/>
          <w:lang w:val="es-ES" w:eastAsia="es-CO" w:bidi="ar-SA"/>
        </w:rPr>
      </w:pPr>
    </w:p>
    <w:p w:rsidR="00E62366" w:rsidP="005974F4" w14:paraId="27A21EE1" w14:textId="77777777">
      <w:pPr>
        <w:jc w:val="center"/>
        <w:rPr>
          <w:rFonts w:ascii="Arial" w:eastAsia="Times New Roman" w:hAnsi="Arial" w:cs="Times New Roman"/>
          <w:b/>
          <w:sz w:val="16"/>
          <w:szCs w:val="16"/>
          <w:lang w:val="es-ES" w:eastAsia="es-CO" w:bidi="ar-SA"/>
        </w:rPr>
      </w:pPr>
    </w:p>
    <w:p w:rsidR="00E62366" w:rsidP="005974F4" w14:paraId="11875DA8" w14:textId="77777777">
      <w:pPr>
        <w:jc w:val="center"/>
        <w:rPr>
          <w:rFonts w:ascii="Arial" w:eastAsia="Times New Roman" w:hAnsi="Arial" w:cs="Times New Roman"/>
          <w:b/>
          <w:sz w:val="16"/>
          <w:szCs w:val="16"/>
          <w:lang w:val="es-ES" w:eastAsia="es-CO" w:bidi="ar-SA"/>
        </w:rPr>
      </w:pPr>
    </w:p>
    <w:p w:rsidR="00E62366" w:rsidP="005974F4" w14:paraId="1120A730" w14:textId="77777777">
      <w:pPr>
        <w:jc w:val="center"/>
        <w:rPr>
          <w:rFonts w:ascii="Arial" w:eastAsia="Times New Roman" w:hAnsi="Arial" w:cs="Times New Roman"/>
          <w:b/>
          <w:sz w:val="16"/>
          <w:szCs w:val="16"/>
          <w:lang w:val="es-ES" w:eastAsia="es-CO" w:bidi="ar-SA"/>
        </w:rPr>
      </w:pPr>
    </w:p>
    <w:p w:rsidR="00E62366" w:rsidP="005974F4" w14:paraId="2CBA95E9" w14:textId="77777777">
      <w:pPr>
        <w:jc w:val="center"/>
        <w:rPr>
          <w:rFonts w:ascii="Arial" w:eastAsia="Times New Roman" w:hAnsi="Arial" w:cs="Times New Roman"/>
          <w:b/>
          <w:sz w:val="16"/>
          <w:szCs w:val="16"/>
          <w:lang w:val="es-ES" w:eastAsia="es-CO" w:bidi="ar-SA"/>
        </w:rPr>
      </w:pPr>
    </w:p>
    <w:p w:rsidR="00E62366" w:rsidP="005974F4" w14:paraId="0D15CB56" w14:textId="77777777">
      <w:pPr>
        <w:jc w:val="center"/>
        <w:rPr>
          <w:rFonts w:ascii="Arial" w:eastAsia="Times New Roman" w:hAnsi="Arial" w:cs="Times New Roman"/>
          <w:b/>
          <w:sz w:val="16"/>
          <w:szCs w:val="16"/>
          <w:lang w:val="es-ES" w:eastAsia="es-CO" w:bidi="ar-SA"/>
        </w:rPr>
      </w:pPr>
    </w:p>
    <w:p w:rsidR="00E62366" w:rsidP="005974F4" w14:paraId="182664DB" w14:textId="77777777">
      <w:pPr>
        <w:jc w:val="center"/>
        <w:rPr>
          <w:rFonts w:ascii="Arial" w:eastAsia="Times New Roman" w:hAnsi="Arial" w:cs="Times New Roman"/>
          <w:b/>
          <w:sz w:val="16"/>
          <w:szCs w:val="16"/>
          <w:lang w:val="es-ES" w:eastAsia="es-CO" w:bidi="ar-SA"/>
        </w:rPr>
      </w:pPr>
    </w:p>
    <w:p w:rsidR="00E62366" w:rsidP="005974F4" w14:paraId="13F7EB65" w14:textId="77777777">
      <w:pPr>
        <w:jc w:val="center"/>
        <w:rPr>
          <w:rFonts w:ascii="Arial" w:eastAsia="Times New Roman" w:hAnsi="Arial" w:cs="Times New Roman"/>
          <w:b/>
          <w:sz w:val="16"/>
          <w:szCs w:val="16"/>
          <w:lang w:val="es-ES" w:eastAsia="es-CO" w:bidi="ar-SA"/>
        </w:rPr>
      </w:pPr>
    </w:p>
    <w:p w:rsidR="00E62366" w:rsidP="005974F4" w14:paraId="290E4042" w14:textId="77777777">
      <w:pPr>
        <w:jc w:val="center"/>
        <w:rPr>
          <w:rFonts w:ascii="Arial" w:eastAsia="Times New Roman" w:hAnsi="Arial" w:cs="Times New Roman"/>
          <w:b/>
          <w:sz w:val="16"/>
          <w:szCs w:val="16"/>
          <w:lang w:val="es-ES" w:eastAsia="es-CO" w:bidi="ar-SA"/>
        </w:rPr>
      </w:pPr>
    </w:p>
    <w:p w:rsidR="00E62366" w:rsidP="005974F4" w14:paraId="22C3F128" w14:textId="77777777">
      <w:pPr>
        <w:jc w:val="center"/>
        <w:rPr>
          <w:rFonts w:ascii="Arial" w:eastAsia="Times New Roman" w:hAnsi="Arial" w:cs="Times New Roman"/>
          <w:b/>
          <w:sz w:val="16"/>
          <w:szCs w:val="16"/>
          <w:lang w:val="es-ES" w:eastAsia="es-CO" w:bidi="ar-SA"/>
        </w:rPr>
      </w:pPr>
    </w:p>
    <w:p w:rsidR="00E62366" w:rsidP="005974F4" w14:paraId="52074274" w14:textId="77777777">
      <w:pPr>
        <w:jc w:val="center"/>
        <w:rPr>
          <w:rFonts w:ascii="Arial" w:eastAsia="Times New Roman" w:hAnsi="Arial" w:cs="Times New Roman"/>
          <w:b/>
          <w:sz w:val="16"/>
          <w:szCs w:val="16"/>
          <w:lang w:val="es-ES" w:eastAsia="es-CO" w:bidi="ar-SA"/>
        </w:rPr>
      </w:pPr>
    </w:p>
    <w:p w:rsidR="00E62366" w:rsidP="005974F4" w14:paraId="7B8D3B72" w14:textId="77777777">
      <w:pPr>
        <w:jc w:val="center"/>
        <w:rPr>
          <w:rFonts w:ascii="Arial" w:eastAsia="Times New Roman" w:hAnsi="Arial" w:cs="Times New Roman"/>
          <w:b/>
          <w:sz w:val="16"/>
          <w:szCs w:val="16"/>
          <w:lang w:val="es-ES" w:eastAsia="es-CO" w:bidi="ar-SA"/>
        </w:rPr>
      </w:pPr>
    </w:p>
    <w:p w:rsidR="00E62366" w:rsidP="005974F4" w14:paraId="742E8669" w14:textId="77777777">
      <w:pPr>
        <w:jc w:val="center"/>
        <w:rPr>
          <w:rFonts w:ascii="Arial" w:eastAsia="Times New Roman" w:hAnsi="Arial" w:cs="Times New Roman"/>
          <w:b/>
          <w:sz w:val="16"/>
          <w:szCs w:val="16"/>
          <w:lang w:val="es-ES" w:eastAsia="es-CO" w:bidi="ar-SA"/>
        </w:rPr>
      </w:pPr>
    </w:p>
    <w:p w:rsidR="00E62366" w:rsidP="005974F4" w14:paraId="37E7700B" w14:textId="77777777">
      <w:pPr>
        <w:jc w:val="center"/>
        <w:rPr>
          <w:rFonts w:ascii="Arial" w:eastAsia="Times New Roman" w:hAnsi="Arial" w:cs="Times New Roman"/>
          <w:b/>
          <w:sz w:val="16"/>
          <w:szCs w:val="16"/>
          <w:lang w:val="es-ES" w:eastAsia="es-CO" w:bidi="ar-SA"/>
        </w:rPr>
      </w:pPr>
    </w:p>
    <w:p w:rsidR="00E62366" w:rsidP="005974F4" w14:paraId="44C22040" w14:textId="77777777">
      <w:pPr>
        <w:jc w:val="center"/>
        <w:rPr>
          <w:rFonts w:ascii="Arial" w:eastAsia="Times New Roman" w:hAnsi="Arial" w:cs="Times New Roman"/>
          <w:b/>
          <w:sz w:val="16"/>
          <w:szCs w:val="16"/>
          <w:lang w:val="es-ES" w:eastAsia="es-CO" w:bidi="ar-SA"/>
        </w:rPr>
      </w:pPr>
    </w:p>
    <w:p w:rsidR="00E62366" w:rsidP="005974F4" w14:paraId="665C1150" w14:textId="77777777">
      <w:pPr>
        <w:jc w:val="center"/>
        <w:rPr>
          <w:rFonts w:ascii="Arial" w:eastAsia="Times New Roman" w:hAnsi="Arial" w:cs="Times New Roman"/>
          <w:b/>
          <w:sz w:val="16"/>
          <w:szCs w:val="16"/>
          <w:lang w:val="es-ES" w:eastAsia="es-CO" w:bidi="ar-SA"/>
        </w:rPr>
      </w:pPr>
    </w:p>
    <w:p w:rsidR="00E62366" w:rsidP="005974F4" w14:paraId="751110A3" w14:textId="77777777">
      <w:pPr>
        <w:jc w:val="center"/>
        <w:rPr>
          <w:rFonts w:ascii="Arial" w:eastAsia="Times New Roman" w:hAnsi="Arial" w:cs="Times New Roman"/>
          <w:b/>
          <w:sz w:val="16"/>
          <w:szCs w:val="16"/>
          <w:lang w:val="es-ES" w:eastAsia="es-CO" w:bidi="ar-SA"/>
        </w:rPr>
      </w:pPr>
    </w:p>
    <w:p w:rsidR="00E62366" w:rsidP="005974F4" w14:paraId="2AB8309B" w14:textId="77777777">
      <w:pPr>
        <w:jc w:val="center"/>
        <w:rPr>
          <w:rFonts w:ascii="Arial" w:eastAsia="Times New Roman" w:hAnsi="Arial" w:cs="Times New Roman"/>
          <w:b/>
          <w:sz w:val="16"/>
          <w:szCs w:val="16"/>
          <w:lang w:val="es-ES" w:eastAsia="es-CO" w:bidi="ar-SA"/>
        </w:rPr>
      </w:pPr>
    </w:p>
    <w:p w:rsidR="00E62366" w:rsidP="005974F4" w14:paraId="772D79A8" w14:textId="77777777">
      <w:pPr>
        <w:jc w:val="center"/>
        <w:rPr>
          <w:rFonts w:ascii="Arial" w:eastAsia="Times New Roman" w:hAnsi="Arial" w:cs="Times New Roman"/>
          <w:b/>
          <w:sz w:val="16"/>
          <w:szCs w:val="16"/>
          <w:lang w:val="es-ES" w:eastAsia="es-CO" w:bidi="ar-SA"/>
        </w:rPr>
      </w:pPr>
    </w:p>
    <w:p w:rsidR="00E62366" w:rsidP="005974F4" w14:paraId="26A10996" w14:textId="77777777">
      <w:pPr>
        <w:jc w:val="center"/>
        <w:rPr>
          <w:rFonts w:ascii="Arial" w:eastAsia="Times New Roman" w:hAnsi="Arial" w:cs="Times New Roman"/>
          <w:b/>
          <w:sz w:val="16"/>
          <w:szCs w:val="16"/>
          <w:lang w:val="es-ES" w:eastAsia="es-CO" w:bidi="ar-SA"/>
        </w:rPr>
      </w:pPr>
    </w:p>
    <w:p w:rsidR="00E62366" w:rsidP="005974F4" w14:paraId="0AF9742C" w14:textId="77777777">
      <w:pPr>
        <w:jc w:val="center"/>
        <w:rPr>
          <w:rFonts w:ascii="Arial" w:eastAsia="Times New Roman" w:hAnsi="Arial" w:cs="Times New Roman"/>
          <w:b/>
          <w:sz w:val="16"/>
          <w:szCs w:val="16"/>
          <w:lang w:val="es-ES" w:eastAsia="es-CO" w:bidi="ar-SA"/>
        </w:rPr>
      </w:pPr>
    </w:p>
    <w:p w:rsidR="00E62366" w:rsidP="005974F4" w14:paraId="1EEA63B3" w14:textId="77777777">
      <w:pPr>
        <w:jc w:val="center"/>
        <w:rPr>
          <w:rFonts w:ascii="Arial" w:eastAsia="Times New Roman" w:hAnsi="Arial" w:cs="Times New Roman"/>
          <w:b/>
          <w:sz w:val="16"/>
          <w:szCs w:val="16"/>
          <w:lang w:val="es-ES" w:eastAsia="es-CO" w:bidi="ar-SA"/>
        </w:rPr>
      </w:pPr>
    </w:p>
    <w:p w:rsidR="00E62366" w:rsidP="005974F4" w14:paraId="20FF87D8" w14:textId="77777777">
      <w:pPr>
        <w:jc w:val="center"/>
        <w:rPr>
          <w:rFonts w:ascii="Arial" w:eastAsia="Times New Roman" w:hAnsi="Arial" w:cs="Times New Roman"/>
          <w:b/>
          <w:sz w:val="16"/>
          <w:szCs w:val="16"/>
          <w:lang w:val="es-ES" w:eastAsia="es-CO" w:bidi="ar-SA"/>
        </w:rPr>
      </w:pPr>
    </w:p>
    <w:p w:rsidR="00E62366" w:rsidP="005974F4" w14:paraId="060B3DB1" w14:textId="77777777">
      <w:pPr>
        <w:jc w:val="center"/>
        <w:rPr>
          <w:rFonts w:ascii="Arial" w:eastAsia="Times New Roman" w:hAnsi="Arial" w:cs="Times New Roman"/>
          <w:b/>
          <w:sz w:val="16"/>
          <w:szCs w:val="16"/>
          <w:lang w:val="es-ES" w:eastAsia="es-CO" w:bidi="ar-SA"/>
        </w:rPr>
      </w:pPr>
    </w:p>
    <w:p w:rsidR="00E62366" w:rsidP="005974F4" w14:paraId="784A6911" w14:textId="77777777">
      <w:pPr>
        <w:jc w:val="center"/>
        <w:rPr>
          <w:rFonts w:ascii="Arial" w:eastAsia="Times New Roman" w:hAnsi="Arial" w:cs="Times New Roman"/>
          <w:b/>
          <w:sz w:val="16"/>
          <w:szCs w:val="16"/>
          <w:lang w:val="es-ES" w:eastAsia="es-CO" w:bidi="ar-SA"/>
        </w:rPr>
      </w:pPr>
    </w:p>
    <w:p w:rsidR="00E62366" w:rsidP="005974F4" w14:paraId="59ADB31A" w14:textId="77777777">
      <w:pPr>
        <w:jc w:val="center"/>
        <w:rPr>
          <w:rFonts w:ascii="Arial" w:eastAsia="Times New Roman" w:hAnsi="Arial" w:cs="Times New Roman"/>
          <w:b/>
          <w:sz w:val="16"/>
          <w:szCs w:val="16"/>
          <w:lang w:val="es-ES" w:eastAsia="es-CO" w:bidi="ar-SA"/>
        </w:rPr>
      </w:pPr>
    </w:p>
    <w:p w:rsidR="00E62366" w:rsidP="005974F4" w14:paraId="77BCC515" w14:textId="77777777">
      <w:pPr>
        <w:jc w:val="center"/>
        <w:rPr>
          <w:rFonts w:ascii="Arial" w:eastAsia="Times New Roman" w:hAnsi="Arial" w:cs="Times New Roman"/>
          <w:b/>
          <w:sz w:val="16"/>
          <w:szCs w:val="16"/>
          <w:lang w:val="es-ES" w:eastAsia="es-CO" w:bidi="ar-SA"/>
        </w:rPr>
      </w:pPr>
    </w:p>
    <w:p w:rsidR="00E62366" w:rsidP="005974F4" w14:paraId="1FE1B243" w14:textId="77777777">
      <w:pPr>
        <w:jc w:val="center"/>
        <w:rPr>
          <w:rFonts w:ascii="Arial" w:eastAsia="Times New Roman" w:hAnsi="Arial" w:cs="Times New Roman"/>
          <w:b/>
          <w:sz w:val="16"/>
          <w:szCs w:val="16"/>
          <w:lang w:val="es-ES" w:eastAsia="es-CO" w:bidi="ar-SA"/>
        </w:rPr>
      </w:pPr>
    </w:p>
    <w:p w:rsidR="00E62366" w:rsidP="005974F4" w14:paraId="30808317" w14:textId="77777777">
      <w:pPr>
        <w:jc w:val="center"/>
        <w:rPr>
          <w:rFonts w:ascii="Arial" w:eastAsia="Times New Roman" w:hAnsi="Arial" w:cs="Times New Roman"/>
          <w:b/>
          <w:sz w:val="16"/>
          <w:szCs w:val="16"/>
          <w:lang w:val="es-ES" w:eastAsia="es-CO" w:bidi="ar-SA"/>
        </w:rPr>
      </w:pPr>
    </w:p>
    <w:p w:rsidR="00E62366" w:rsidP="005974F4" w14:paraId="4D31DF86" w14:textId="77777777">
      <w:pPr>
        <w:jc w:val="center"/>
        <w:rPr>
          <w:rFonts w:ascii="Arial" w:eastAsia="Times New Roman" w:hAnsi="Arial" w:cs="Times New Roman"/>
          <w:b/>
          <w:sz w:val="16"/>
          <w:szCs w:val="16"/>
          <w:lang w:val="es-ES" w:eastAsia="es-CO" w:bidi="ar-SA"/>
        </w:rPr>
      </w:pPr>
    </w:p>
    <w:p w:rsidR="00E62366" w:rsidP="005974F4" w14:paraId="0D58ED2D" w14:textId="77777777">
      <w:pPr>
        <w:jc w:val="center"/>
        <w:rPr>
          <w:rFonts w:ascii="Arial" w:eastAsia="Times New Roman" w:hAnsi="Arial" w:cs="Times New Roman"/>
          <w:b/>
          <w:sz w:val="16"/>
          <w:szCs w:val="16"/>
          <w:lang w:val="es-ES" w:eastAsia="es-CO" w:bidi="ar-SA"/>
        </w:rPr>
      </w:pPr>
    </w:p>
    <w:p w:rsidR="003174D4" w:rsidP="005974F4" w14:paraId="278F947E" w14:textId="77777777">
      <w:pPr>
        <w:jc w:val="center"/>
        <w:rPr>
          <w:rFonts w:ascii="Arial" w:eastAsia="Times New Roman" w:hAnsi="Arial" w:cs="Times New Roman"/>
          <w:b/>
          <w:sz w:val="16"/>
          <w:szCs w:val="16"/>
          <w:lang w:val="es-ES" w:eastAsia="es-CO" w:bidi="ar-SA"/>
        </w:rPr>
        <w:sectPr w:rsidSect="003174D4">
          <w:headerReference w:type="default" r:id="rId13"/>
          <w:footerReference w:type="default" r:id="rId14"/>
          <w:type w:val="nextPage"/>
          <w:pgSz w:w="12240" w:h="18720" w:code="14"/>
          <w:pgMar w:top="1418" w:right="1701" w:bottom="1418" w:left="1701" w:header="1134" w:footer="1134" w:gutter="0"/>
          <w:pgNumType w:start="1"/>
          <w:cols w:space="708"/>
          <w:docGrid w:linePitch="360"/>
        </w:sectPr>
      </w:pPr>
    </w:p>
    <w:p w:rsidR="0025389A" w:rsidRPr="003D1446" w:rsidP="0025389A" w14:paraId="4A4061A4" w14:textId="77777777">
      <w:pPr>
        <w:ind w:right="51"/>
        <w:jc w:val="both"/>
        <w:rPr>
          <w:rFonts w:ascii="Arial" w:eastAsia="Times New Roman" w:hAnsi="Arial" w:cs="Times New Roman"/>
          <w:sz w:val="16"/>
          <w:szCs w:val="16"/>
          <w:lang w:val="es-ES" w:eastAsia="es-CO" w:bidi="ar-SA"/>
        </w:rPr>
      </w:pPr>
      <w:r w:rsidRPr="5CAAF259">
        <w:rPr>
          <w:rFonts w:ascii="Arial" w:eastAsia="Times New Roman" w:hAnsi="Arial" w:cs="Times New Roman"/>
          <w:sz w:val="16"/>
          <w:szCs w:val="16"/>
          <w:lang w:val="es-ES" w:eastAsia="es-CO" w:bidi="ar-SA"/>
        </w:rPr>
        <w:t>Las sociedades de capitalización deben mantener dichas actas en orden consecutivo a disposición de la SFC para su verificación.</w:t>
      </w:r>
    </w:p>
    <w:p w:rsidR="0025389A" w:rsidRPr="003D1446" w:rsidP="0025389A" w14:paraId="22EEAF70" w14:textId="77777777">
      <w:pPr>
        <w:ind w:right="51"/>
        <w:jc w:val="both"/>
        <w:rPr>
          <w:rFonts w:ascii="Arial" w:eastAsia="Times New Roman" w:hAnsi="Arial" w:cs="Times New Roman"/>
          <w:sz w:val="16"/>
          <w:szCs w:val="16"/>
          <w:lang w:val="es-ES" w:eastAsia="es-CO" w:bidi="ar-SA"/>
        </w:rPr>
      </w:pPr>
    </w:p>
    <w:p w:rsidR="0025389A" w:rsidRPr="00502DE4" w:rsidP="0025389A" w14:paraId="39CD33E1" w14:textId="77777777">
      <w:pPr>
        <w:pStyle w:val="Heading2"/>
        <w:keepNext/>
        <w:spacing w:before="0" w:after="0"/>
        <w:jc w:val="left"/>
        <w:rPr>
          <w:rFonts w:ascii="Arial" w:eastAsia="Times New Roman" w:hAnsi="Arial" w:cs="Arial"/>
          <w:b/>
          <w:bCs/>
          <w:iCs/>
          <w:sz w:val="16"/>
          <w:szCs w:val="28"/>
          <w:lang w:val="es-ES" w:eastAsia="es-CO" w:bidi="ar-SA"/>
        </w:rPr>
      </w:pPr>
      <w:bookmarkStart w:id="5" w:name="_Toc263881108"/>
      <w:r w:rsidRPr="00502DE4">
        <w:rPr>
          <w:rFonts w:ascii="Arial" w:eastAsia="Times New Roman" w:hAnsi="Arial" w:cs="Arial"/>
          <w:b/>
          <w:bCs/>
          <w:iCs/>
          <w:sz w:val="16"/>
          <w:szCs w:val="28"/>
          <w:lang w:val="es-ES" w:eastAsia="es-CO" w:bidi="ar-SA"/>
        </w:rPr>
        <w:t>2.5.</w:t>
      </w:r>
      <w:r>
        <w:rPr>
          <w:rFonts w:ascii="Arial" w:eastAsia="Times New Roman" w:hAnsi="Arial" w:cs="Arial"/>
          <w:b/>
          <w:bCs/>
          <w:iCs/>
          <w:sz w:val="16"/>
          <w:szCs w:val="28"/>
          <w:lang w:val="es-ES" w:eastAsia="es-CO" w:bidi="ar-SA"/>
        </w:rPr>
        <w:t xml:space="preserve"> </w:t>
      </w:r>
      <w:r w:rsidRPr="00502DE4">
        <w:rPr>
          <w:rFonts w:ascii="Arial" w:eastAsia="Times New Roman" w:hAnsi="Arial" w:cs="Arial"/>
          <w:b/>
          <w:bCs/>
          <w:iCs/>
          <w:sz w:val="16"/>
          <w:szCs w:val="28"/>
          <w:lang w:val="es-ES" w:eastAsia="es-CO" w:bidi="ar-SA"/>
        </w:rPr>
        <w:t>Conservación de títulos e información</w:t>
      </w:r>
      <w:bookmarkEnd w:id="5"/>
    </w:p>
    <w:p w:rsidR="0025389A" w:rsidRPr="003D1446" w:rsidP="0025389A" w14:paraId="104C1090" w14:textId="77777777">
      <w:pPr>
        <w:ind w:right="51"/>
        <w:jc w:val="both"/>
        <w:rPr>
          <w:rFonts w:ascii="Arial" w:eastAsia="Times New Roman" w:hAnsi="Arial" w:cs="Times New Roman"/>
          <w:sz w:val="16"/>
          <w:szCs w:val="16"/>
          <w:lang w:val="es-ES" w:eastAsia="es-CO" w:bidi="ar-SA"/>
        </w:rPr>
      </w:pPr>
    </w:p>
    <w:p w:rsidR="0025389A" w:rsidRPr="003D1446" w:rsidP="0025389A" w14:paraId="51242546" w14:textId="77777777">
      <w:pPr>
        <w:ind w:right="51"/>
        <w:jc w:val="both"/>
        <w:rPr>
          <w:rFonts w:ascii="Arial" w:eastAsia="Times New Roman" w:hAnsi="Arial" w:cs="Times New Roman"/>
          <w:sz w:val="16"/>
          <w:szCs w:val="16"/>
          <w:lang w:val="es-ES" w:eastAsia="es-CO" w:bidi="ar-SA"/>
        </w:rPr>
      </w:pPr>
      <w:r w:rsidRPr="003D1446">
        <w:rPr>
          <w:rFonts w:ascii="Arial" w:eastAsia="Times New Roman" w:hAnsi="Arial" w:cs="Times New Roman"/>
          <w:sz w:val="16"/>
          <w:szCs w:val="16"/>
          <w:lang w:val="es-ES" w:eastAsia="es-CO" w:bidi="ar-SA"/>
        </w:rPr>
        <w:t xml:space="preserve">A fin de que la SFC en cualquier momento pueda verificar el cumplimiento de los requisitos señalados en el EOSF y en el presente </w:t>
      </w:r>
      <w:r>
        <w:rPr>
          <w:rFonts w:ascii="Arial" w:eastAsia="Times New Roman" w:hAnsi="Arial" w:cs="Times New Roman"/>
          <w:sz w:val="16"/>
          <w:szCs w:val="16"/>
          <w:lang w:val="es-ES" w:eastAsia="es-CO" w:bidi="ar-SA"/>
        </w:rPr>
        <w:t>C</w:t>
      </w:r>
      <w:r w:rsidRPr="003D1446">
        <w:rPr>
          <w:rFonts w:ascii="Arial" w:eastAsia="Times New Roman" w:hAnsi="Arial" w:cs="Times New Roman"/>
          <w:sz w:val="16"/>
          <w:szCs w:val="16"/>
          <w:lang w:val="es-ES" w:eastAsia="es-CO" w:bidi="ar-SA"/>
        </w:rPr>
        <w:t>apítulo, las sociedades de capitalización deben mantener a disposición de esta entidad, de manera ordenada y centralizada, los modelos de los títulos de capitalización que se encuentren ofreciendo al público, así como los elementos que sirvan de sustento para dar cumplimiento a las reglas de divulgación de información al consumidor financiero. En iguales condiciones se deben mantener a disposición de la SFC respecto de cada título, la información de las cuotas pagadas, la tasa de interés aplicada, los intereses devengados, los gastos, los costos de sorteo, la reserva matemática y los valores de rescate. Esta información debe registrarse y mantenerse mes a mes desde el inicio del plan.</w:t>
      </w:r>
    </w:p>
    <w:p w:rsidR="0025389A" w:rsidP="0025389A" w14:paraId="72B6DAC6" w14:textId="77777777">
      <w:pPr>
        <w:ind w:right="51"/>
        <w:jc w:val="both"/>
        <w:rPr>
          <w:rFonts w:ascii="Arial" w:eastAsia="Times New Roman" w:hAnsi="Arial" w:cs="Times New Roman"/>
          <w:sz w:val="16"/>
          <w:szCs w:val="16"/>
          <w:lang w:val="es-ES" w:eastAsia="es-CO" w:bidi="ar-SA"/>
        </w:rPr>
      </w:pPr>
    </w:p>
    <w:p w:rsidR="0025389A" w:rsidRPr="003D1446" w:rsidP="0025389A" w14:paraId="6BF3D0CB" w14:textId="77777777">
      <w:pPr>
        <w:ind w:right="51"/>
        <w:jc w:val="both"/>
        <w:rPr>
          <w:rFonts w:ascii="Arial" w:eastAsia="Times New Roman" w:hAnsi="Arial" w:cs="Times New Roman"/>
          <w:sz w:val="16"/>
          <w:szCs w:val="16"/>
          <w:lang w:val="es-ES" w:eastAsia="es-CO" w:bidi="ar-SA"/>
        </w:rPr>
      </w:pPr>
    </w:p>
    <w:p w:rsidR="0025389A" w:rsidRPr="003D1446" w:rsidP="0025389A" w14:paraId="039DE71F" w14:textId="77777777">
      <w:pPr>
        <w:pStyle w:val="Heading1"/>
        <w:keepNext/>
        <w:spacing w:before="0" w:after="0"/>
        <w:jc w:val="left"/>
        <w:rPr>
          <w:rFonts w:ascii="Arial" w:eastAsia="Times New Roman" w:hAnsi="Arial" w:cs="Arial"/>
          <w:b/>
          <w:bCs/>
          <w:kern w:val="32"/>
          <w:sz w:val="16"/>
          <w:szCs w:val="32"/>
          <w:lang w:val="es-ES" w:eastAsia="es-CO" w:bidi="ar-SA"/>
        </w:rPr>
      </w:pPr>
      <w:bookmarkStart w:id="6" w:name="_Toc263881109"/>
      <w:r w:rsidRPr="003D1446">
        <w:rPr>
          <w:rFonts w:ascii="Arial" w:eastAsia="Times New Roman" w:hAnsi="Arial" w:cs="Arial"/>
          <w:b/>
          <w:bCs/>
          <w:kern w:val="32"/>
          <w:sz w:val="16"/>
          <w:szCs w:val="32"/>
          <w:lang w:val="es-ES" w:eastAsia="es-CO" w:bidi="ar-SA"/>
        </w:rPr>
        <w:t>3.</w:t>
      </w:r>
      <w:r>
        <w:rPr>
          <w:rFonts w:ascii="Arial" w:eastAsia="Times New Roman" w:hAnsi="Arial" w:cs="Arial"/>
          <w:b/>
          <w:bCs/>
          <w:kern w:val="32"/>
          <w:sz w:val="16"/>
          <w:szCs w:val="32"/>
          <w:lang w:val="es-ES" w:eastAsia="es-CO" w:bidi="ar-SA"/>
        </w:rPr>
        <w:t xml:space="preserve"> </w:t>
      </w:r>
      <w:r w:rsidRPr="003D1446">
        <w:rPr>
          <w:rFonts w:ascii="Arial" w:eastAsia="Times New Roman" w:hAnsi="Arial" w:cs="Arial"/>
          <w:b/>
          <w:bCs/>
          <w:kern w:val="32"/>
          <w:sz w:val="16"/>
          <w:szCs w:val="32"/>
          <w:lang w:val="es-ES" w:eastAsia="es-CO" w:bidi="ar-SA"/>
        </w:rPr>
        <w:t>REGLAS</w:t>
      </w:r>
      <w:r>
        <w:rPr>
          <w:rFonts w:ascii="Arial" w:eastAsia="Times New Roman" w:hAnsi="Arial" w:cs="Arial"/>
          <w:b/>
          <w:bCs/>
          <w:kern w:val="32"/>
          <w:sz w:val="16"/>
          <w:szCs w:val="32"/>
          <w:lang w:val="es-ES" w:eastAsia="es-CO" w:bidi="ar-SA"/>
        </w:rPr>
        <w:t xml:space="preserve"> APLICABLES AL RÉ</w:t>
      </w:r>
      <w:r w:rsidRPr="003D1446">
        <w:rPr>
          <w:rFonts w:ascii="Arial" w:eastAsia="Times New Roman" w:hAnsi="Arial" w:cs="Arial"/>
          <w:b/>
          <w:bCs/>
          <w:kern w:val="32"/>
          <w:sz w:val="16"/>
          <w:szCs w:val="32"/>
          <w:lang w:val="es-ES" w:eastAsia="es-CO" w:bidi="ar-SA"/>
        </w:rPr>
        <w:t>GIMEN DE LAS RESERVAS</w:t>
      </w:r>
      <w:bookmarkEnd w:id="6"/>
    </w:p>
    <w:p w:rsidR="0025389A" w:rsidRPr="003D1446" w:rsidP="0025389A" w14:paraId="5BB84EFA" w14:textId="77777777">
      <w:pPr>
        <w:ind w:right="51"/>
        <w:jc w:val="both"/>
        <w:rPr>
          <w:rFonts w:ascii="Arial" w:eastAsia="Times New Roman" w:hAnsi="Arial" w:cs="Times New Roman"/>
          <w:sz w:val="16"/>
          <w:szCs w:val="16"/>
          <w:lang w:val="es-ES" w:eastAsia="es-CO" w:bidi="ar-SA"/>
        </w:rPr>
      </w:pPr>
    </w:p>
    <w:p w:rsidR="0025389A" w:rsidRPr="003D1446" w:rsidP="0025389A" w14:paraId="48BAA7EF" w14:textId="77777777">
      <w:pPr>
        <w:pStyle w:val="Heading2"/>
        <w:keepNext/>
        <w:spacing w:before="0" w:after="0"/>
        <w:jc w:val="left"/>
        <w:rPr>
          <w:rFonts w:ascii="Arial" w:eastAsia="Times New Roman" w:hAnsi="Arial" w:cs="Arial"/>
          <w:b/>
          <w:bCs/>
          <w:iCs/>
          <w:sz w:val="16"/>
          <w:szCs w:val="28"/>
          <w:lang w:val="es-ES" w:eastAsia="es-CO" w:bidi="ar-SA"/>
        </w:rPr>
      </w:pPr>
      <w:bookmarkStart w:id="7" w:name="_Toc263881110"/>
      <w:r w:rsidRPr="003D1446">
        <w:rPr>
          <w:rFonts w:ascii="Arial" w:eastAsia="Times New Roman" w:hAnsi="Arial" w:cs="Arial"/>
          <w:b/>
          <w:bCs/>
          <w:iCs/>
          <w:sz w:val="16"/>
          <w:szCs w:val="28"/>
          <w:lang w:val="es-ES" w:eastAsia="es-CO" w:bidi="ar-SA"/>
        </w:rPr>
        <w:t>3.1.</w:t>
      </w:r>
      <w:r>
        <w:rPr>
          <w:rFonts w:ascii="Arial" w:eastAsia="Times New Roman" w:hAnsi="Arial" w:cs="Arial"/>
          <w:b/>
          <w:bCs/>
          <w:iCs/>
          <w:sz w:val="16"/>
          <w:szCs w:val="28"/>
          <w:lang w:val="es-ES" w:eastAsia="es-CO" w:bidi="ar-SA"/>
        </w:rPr>
        <w:t xml:space="preserve"> </w:t>
      </w:r>
      <w:r w:rsidRPr="003D1446">
        <w:rPr>
          <w:rFonts w:ascii="Arial" w:eastAsia="Times New Roman" w:hAnsi="Arial" w:cs="Arial"/>
          <w:b/>
          <w:bCs/>
          <w:iCs/>
          <w:sz w:val="16"/>
          <w:szCs w:val="28"/>
          <w:lang w:val="es-ES" w:eastAsia="es-CO" w:bidi="ar-SA"/>
        </w:rPr>
        <w:t>Remisión de cálculos de la reserva matemática</w:t>
      </w:r>
      <w:bookmarkEnd w:id="7"/>
      <w:r w:rsidRPr="003D1446">
        <w:rPr>
          <w:rFonts w:ascii="Arial" w:eastAsia="Times New Roman" w:hAnsi="Arial" w:cs="Arial"/>
          <w:b/>
          <w:bCs/>
          <w:iCs/>
          <w:sz w:val="16"/>
          <w:szCs w:val="28"/>
          <w:lang w:val="es-ES" w:eastAsia="es-CO" w:bidi="ar-SA"/>
        </w:rPr>
        <w:t xml:space="preserve"> </w:t>
      </w:r>
    </w:p>
    <w:p w:rsidR="0025389A" w:rsidRPr="003D1446" w:rsidP="0025389A" w14:paraId="3BC950DE" w14:textId="77777777">
      <w:pPr>
        <w:ind w:right="51"/>
        <w:jc w:val="both"/>
        <w:rPr>
          <w:rFonts w:ascii="Arial" w:eastAsia="Times New Roman" w:hAnsi="Arial" w:cs="Times New Roman"/>
          <w:sz w:val="16"/>
          <w:szCs w:val="16"/>
          <w:lang w:val="es-ES" w:eastAsia="es-CO" w:bidi="ar-SA"/>
        </w:rPr>
      </w:pPr>
    </w:p>
    <w:p w:rsidR="0025389A" w:rsidRPr="003D1446" w:rsidP="00FD7041" w14:paraId="353034B5" w14:textId="77777777">
      <w:pPr>
        <w:ind w:right="51"/>
        <w:jc w:val="both"/>
        <w:rPr>
          <w:rFonts w:ascii="Arial" w:eastAsia="Times New Roman" w:hAnsi="Arial" w:cs="Times New Roman"/>
          <w:sz w:val="16"/>
          <w:szCs w:val="16"/>
          <w:lang w:val="es-ES" w:eastAsia="es-CO" w:bidi="ar-SA"/>
        </w:rPr>
      </w:pPr>
      <w:r w:rsidRPr="003D1446">
        <w:rPr>
          <w:rFonts w:ascii="Arial" w:eastAsia="Times New Roman" w:hAnsi="Arial" w:cs="Times New Roman"/>
          <w:sz w:val="16"/>
          <w:szCs w:val="16"/>
          <w:lang w:val="es-ES" w:eastAsia="es-CO" w:bidi="ar-SA"/>
        </w:rPr>
        <w:t>Los cálculos de la reserva matemática deben remitirse a la S</w:t>
      </w:r>
      <w:r>
        <w:rPr>
          <w:rFonts w:ascii="Arial" w:eastAsia="Times New Roman" w:hAnsi="Arial" w:cs="Times New Roman"/>
          <w:sz w:val="16"/>
          <w:szCs w:val="16"/>
          <w:lang w:val="es-ES" w:eastAsia="es-CO" w:bidi="ar-SA"/>
        </w:rPr>
        <w:t>F</w:t>
      </w:r>
      <w:r w:rsidRPr="003D1446">
        <w:rPr>
          <w:rFonts w:ascii="Arial" w:eastAsia="Times New Roman" w:hAnsi="Arial" w:cs="Times New Roman"/>
          <w:sz w:val="16"/>
          <w:szCs w:val="16"/>
          <w:lang w:val="es-ES" w:eastAsia="es-CO" w:bidi="ar-SA"/>
        </w:rPr>
        <w:t>C en la misma oportunidad prevista para el envío de estados financieros en un resumen explicativo certificado por el representante legal</w:t>
      </w:r>
      <w:r>
        <w:rPr>
          <w:rFonts w:ascii="Arial" w:eastAsia="Times New Roman" w:hAnsi="Arial" w:cs="Times New Roman"/>
          <w:sz w:val="16"/>
          <w:szCs w:val="16"/>
          <w:lang w:val="es-ES" w:eastAsia="es-CO" w:bidi="ar-SA"/>
        </w:rPr>
        <w:t xml:space="preserve"> </w:t>
      </w:r>
      <w:r w:rsidRPr="003D1446">
        <w:rPr>
          <w:rFonts w:ascii="Arial" w:eastAsia="Times New Roman" w:hAnsi="Arial" w:cs="Times New Roman"/>
          <w:sz w:val="16"/>
          <w:szCs w:val="16"/>
          <w:lang w:val="es-ES" w:eastAsia="es-CO" w:bidi="ar-SA"/>
        </w:rPr>
        <w:t>y un actuario. Tratándose de estados financieros de fin de ejercicio, la información debe reportarse en medios magnéticos, con el detalle completo de los títulos expedidos.</w:t>
      </w:r>
    </w:p>
    <w:p w:rsidR="0025389A" w:rsidRPr="003D1446" w:rsidP="0025389A" w14:paraId="1562D85A" w14:textId="77777777">
      <w:pPr>
        <w:ind w:right="51"/>
        <w:jc w:val="both"/>
        <w:rPr>
          <w:rFonts w:ascii="Arial" w:eastAsia="Times New Roman" w:hAnsi="Arial" w:cs="Times New Roman"/>
          <w:sz w:val="16"/>
          <w:szCs w:val="16"/>
          <w:lang w:val="es-ES" w:eastAsia="es-CO" w:bidi="ar-SA"/>
        </w:rPr>
      </w:pPr>
      <w:r w:rsidRPr="003D1446">
        <w:rPr>
          <w:rFonts w:ascii="Arial" w:eastAsia="Times New Roman" w:hAnsi="Arial" w:cs="Times New Roman"/>
          <w:sz w:val="16"/>
          <w:szCs w:val="16"/>
          <w:lang w:val="es-ES" w:eastAsia="es-CO" w:bidi="ar-SA"/>
        </w:rPr>
        <w:t xml:space="preserve"> </w:t>
      </w:r>
    </w:p>
    <w:p w:rsidR="0025389A" w:rsidRPr="003D1446" w:rsidP="0025389A" w14:paraId="0C12AAF2" w14:textId="77777777">
      <w:pPr>
        <w:pStyle w:val="Heading2"/>
        <w:keepNext/>
        <w:spacing w:before="0" w:after="0"/>
        <w:jc w:val="left"/>
        <w:rPr>
          <w:rFonts w:ascii="Arial" w:eastAsia="Times New Roman" w:hAnsi="Arial" w:cs="Arial"/>
          <w:b/>
          <w:bCs/>
          <w:iCs/>
          <w:sz w:val="16"/>
          <w:szCs w:val="28"/>
          <w:lang w:val="es-ES" w:eastAsia="es-CO" w:bidi="ar-SA"/>
        </w:rPr>
      </w:pPr>
      <w:bookmarkStart w:id="8" w:name="_Toc263881111"/>
      <w:r w:rsidRPr="003D1446">
        <w:rPr>
          <w:rFonts w:ascii="Arial" w:eastAsia="Times New Roman" w:hAnsi="Arial" w:cs="Arial"/>
          <w:b/>
          <w:bCs/>
          <w:iCs/>
          <w:sz w:val="16"/>
          <w:szCs w:val="28"/>
          <w:lang w:val="es-ES" w:eastAsia="es-CO" w:bidi="ar-SA"/>
        </w:rPr>
        <w:t>3.2.</w:t>
      </w:r>
      <w:r>
        <w:rPr>
          <w:rFonts w:ascii="Arial" w:eastAsia="Times New Roman" w:hAnsi="Arial" w:cs="Arial"/>
          <w:b/>
          <w:bCs/>
          <w:iCs/>
          <w:sz w:val="16"/>
          <w:szCs w:val="28"/>
          <w:lang w:val="es-ES" w:eastAsia="es-CO" w:bidi="ar-SA"/>
        </w:rPr>
        <w:t xml:space="preserve"> </w:t>
      </w:r>
      <w:r w:rsidRPr="003D1446">
        <w:rPr>
          <w:rFonts w:ascii="Arial" w:eastAsia="Times New Roman" w:hAnsi="Arial" w:cs="Arial"/>
          <w:b/>
          <w:bCs/>
          <w:iCs/>
          <w:sz w:val="16"/>
          <w:szCs w:val="28"/>
          <w:lang w:val="es-ES" w:eastAsia="es-CO" w:bidi="ar-SA"/>
        </w:rPr>
        <w:t>Improcedencia de constitución de reservas técnicas</w:t>
      </w:r>
      <w:bookmarkEnd w:id="8"/>
      <w:r w:rsidRPr="003D1446">
        <w:rPr>
          <w:rFonts w:ascii="Arial" w:eastAsia="Times New Roman" w:hAnsi="Arial" w:cs="Arial"/>
          <w:b/>
          <w:bCs/>
          <w:iCs/>
          <w:sz w:val="16"/>
          <w:szCs w:val="28"/>
          <w:lang w:val="es-ES" w:eastAsia="es-CO" w:bidi="ar-SA"/>
        </w:rPr>
        <w:tab/>
      </w:r>
    </w:p>
    <w:p w:rsidR="0025389A" w:rsidRPr="003D1446" w:rsidP="0025389A" w14:paraId="4334CCDF" w14:textId="77777777">
      <w:pPr>
        <w:ind w:right="51"/>
        <w:jc w:val="both"/>
        <w:rPr>
          <w:rFonts w:ascii="Arial" w:eastAsia="Times New Roman" w:hAnsi="Arial" w:cs="Times New Roman"/>
          <w:sz w:val="16"/>
          <w:szCs w:val="16"/>
          <w:lang w:val="es-ES_tradnl" w:eastAsia="es-CO" w:bidi="ar-SA"/>
        </w:rPr>
      </w:pPr>
    </w:p>
    <w:p w:rsidR="0025389A" w:rsidRPr="003D1446" w:rsidP="0025389A" w14:paraId="5BA46160" w14:textId="77777777">
      <w:pPr>
        <w:ind w:right="51"/>
        <w:jc w:val="both"/>
        <w:rPr>
          <w:rFonts w:ascii="Arial" w:eastAsia="Times New Roman" w:hAnsi="Arial" w:cs="Times New Roman"/>
          <w:sz w:val="16"/>
          <w:szCs w:val="16"/>
          <w:lang w:val="es-ES" w:eastAsia="x-none" w:bidi="ar-SA"/>
        </w:rPr>
      </w:pPr>
      <w:r w:rsidRPr="003D1446">
        <w:rPr>
          <w:rFonts w:ascii="Arial" w:eastAsia="Times New Roman" w:hAnsi="Arial" w:cs="Times New Roman"/>
          <w:sz w:val="16"/>
          <w:szCs w:val="16"/>
          <w:lang w:val="es-ES" w:eastAsia="x-none" w:bidi="ar-SA"/>
        </w:rPr>
        <w:t>Respecto de los títulos vencidos no prescritos no resulta procedente la constitución de reserva técnica, en consideración a que en dicho evento al suscriptor le asiste solamente el derecho a percibir el valor de rescate, previa deducción de las sumas que graven el título, toda vez que éste no es susceptible de rehabilitación mediante el pago de las cuotas no satisfechas en su oportunidad.</w:t>
      </w:r>
    </w:p>
    <w:p w:rsidR="0025389A" w:rsidRPr="003D1446" w:rsidP="0025389A" w14:paraId="4C387BF6" w14:textId="77777777">
      <w:pPr>
        <w:ind w:right="51"/>
        <w:jc w:val="both"/>
        <w:rPr>
          <w:rFonts w:ascii="Arial" w:eastAsia="Times New Roman" w:hAnsi="Arial" w:cs="Times New Roman"/>
          <w:sz w:val="16"/>
          <w:szCs w:val="16"/>
          <w:lang w:val="es-ES" w:eastAsia="es-CO" w:bidi="ar-SA"/>
        </w:rPr>
      </w:pPr>
    </w:p>
    <w:p w:rsidR="0025389A" w:rsidRPr="003D1446" w:rsidP="0025389A" w14:paraId="2DF86F46" w14:textId="77777777">
      <w:pPr>
        <w:ind w:right="51"/>
        <w:jc w:val="both"/>
        <w:rPr>
          <w:rFonts w:ascii="Arial" w:eastAsia="Times New Roman" w:hAnsi="Arial" w:cs="Times New Roman"/>
          <w:sz w:val="16"/>
          <w:szCs w:val="16"/>
          <w:lang w:val="es-ES" w:eastAsia="es-CO" w:bidi="ar-SA"/>
        </w:rPr>
      </w:pPr>
      <w:r w:rsidRPr="003D1446">
        <w:rPr>
          <w:rFonts w:ascii="Arial" w:eastAsia="Times New Roman" w:hAnsi="Arial" w:cs="Times New Roman"/>
          <w:sz w:val="16"/>
          <w:szCs w:val="16"/>
          <w:lang w:val="es-ES" w:eastAsia="es-CO" w:bidi="ar-SA"/>
        </w:rPr>
        <w:t xml:space="preserve">El valor de rescate por vencimiento y rescisión del contrato es un pasivo fijo e invariable de inmediata exigibilidad por el suscriptor. </w:t>
      </w:r>
    </w:p>
    <w:p w:rsidR="0025389A" w:rsidRPr="003D1446" w:rsidP="0025389A" w14:paraId="2ED1A147" w14:textId="77777777">
      <w:pPr>
        <w:ind w:right="51"/>
        <w:jc w:val="both"/>
        <w:rPr>
          <w:rFonts w:ascii="Arial" w:eastAsia="Times New Roman" w:hAnsi="Arial" w:cs="Times New Roman"/>
          <w:sz w:val="16"/>
          <w:szCs w:val="16"/>
          <w:lang w:val="es-ES" w:eastAsia="es-CO" w:bidi="ar-SA"/>
        </w:rPr>
      </w:pPr>
    </w:p>
    <w:p w:rsidR="0025389A" w:rsidRPr="003D1446" w:rsidP="0025389A" w14:paraId="3B24FA42" w14:textId="77777777">
      <w:pPr>
        <w:ind w:right="51"/>
        <w:jc w:val="both"/>
        <w:rPr>
          <w:rFonts w:ascii="Arial" w:eastAsia="Times New Roman" w:hAnsi="Arial" w:cs="Times New Roman"/>
          <w:sz w:val="16"/>
          <w:szCs w:val="16"/>
          <w:lang w:val="es-ES" w:eastAsia="es-CO" w:bidi="ar-SA"/>
        </w:rPr>
      </w:pPr>
      <w:r w:rsidRPr="003D1446">
        <w:rPr>
          <w:rFonts w:ascii="Arial" w:eastAsia="Times New Roman" w:hAnsi="Arial" w:cs="Times New Roman"/>
          <w:sz w:val="16"/>
          <w:szCs w:val="16"/>
          <w:lang w:val="es-ES" w:eastAsia="es-CO" w:bidi="ar-SA"/>
        </w:rPr>
        <w:t>Por razón de lo expuesto, la partida formada por el valor de rescate de los títulos vencidos no prescritos, por tratarse de un pasivo exigible a cargo de las sociedades de capitalización y a favor de cada uno de los suscriptores no pertenece a la reserva técnica.</w:t>
      </w:r>
    </w:p>
    <w:p w:rsidR="0025389A" w:rsidRPr="003D1446" w:rsidP="0025389A" w14:paraId="14A18B2C" w14:textId="77777777">
      <w:pPr>
        <w:ind w:right="51"/>
        <w:jc w:val="both"/>
        <w:rPr>
          <w:rFonts w:ascii="Arial" w:eastAsia="Times New Roman" w:hAnsi="Arial" w:cs="Times New Roman"/>
          <w:sz w:val="16"/>
          <w:szCs w:val="16"/>
          <w:lang w:val="es-ES" w:eastAsia="es-CO" w:bidi="ar-SA"/>
        </w:rPr>
      </w:pPr>
    </w:p>
    <w:p w:rsidR="0025389A" w:rsidRPr="00502DE4" w:rsidP="0025389A" w14:paraId="1464DE9E" w14:textId="77777777">
      <w:pPr>
        <w:pStyle w:val="Heading2"/>
        <w:keepNext/>
        <w:spacing w:before="0" w:after="0"/>
        <w:jc w:val="both"/>
        <w:rPr>
          <w:rFonts w:ascii="Arial" w:eastAsia="Times New Roman" w:hAnsi="Arial" w:cs="Arial"/>
          <w:b/>
          <w:bCs/>
          <w:iCs/>
          <w:sz w:val="16"/>
          <w:szCs w:val="28"/>
          <w:lang w:val="es-ES" w:eastAsia="es-CO" w:bidi="ar-SA"/>
        </w:rPr>
      </w:pPr>
      <w:bookmarkStart w:id="9" w:name="_Toc263881112"/>
      <w:r w:rsidRPr="00502DE4">
        <w:rPr>
          <w:rFonts w:ascii="Arial" w:eastAsia="Times New Roman" w:hAnsi="Arial" w:cs="Arial"/>
          <w:b/>
          <w:bCs/>
          <w:iCs/>
          <w:sz w:val="16"/>
          <w:szCs w:val="28"/>
          <w:lang w:val="es-ES" w:eastAsia="es-CO" w:bidi="ar-SA"/>
        </w:rPr>
        <w:t>3.3. Reglas sobre calificación mínima y cuantificación del riesgo crediticio de las inversiones que respalden reservas técnicas</w:t>
      </w:r>
      <w:bookmarkEnd w:id="9"/>
      <w:r w:rsidRPr="00502DE4">
        <w:rPr>
          <w:rFonts w:ascii="Arial" w:eastAsia="Times New Roman" w:hAnsi="Arial" w:cs="Arial"/>
          <w:b/>
          <w:bCs/>
          <w:iCs/>
          <w:sz w:val="16"/>
          <w:szCs w:val="28"/>
          <w:lang w:val="es-ES" w:eastAsia="es-CO" w:bidi="ar-SA"/>
        </w:rPr>
        <w:t xml:space="preserve"> </w:t>
      </w:r>
    </w:p>
    <w:p w:rsidR="0025389A" w:rsidRPr="00502DE4" w:rsidP="0025389A" w14:paraId="7CBD1FBF" w14:textId="77777777">
      <w:pPr>
        <w:ind w:right="51"/>
        <w:jc w:val="both"/>
        <w:rPr>
          <w:rFonts w:ascii="Arial" w:eastAsia="Times New Roman" w:hAnsi="Arial" w:cs="Times New Roman"/>
          <w:sz w:val="16"/>
          <w:szCs w:val="16"/>
          <w:lang w:val="es-ES" w:eastAsia="es-CO" w:bidi="ar-SA"/>
        </w:rPr>
      </w:pPr>
    </w:p>
    <w:p w:rsidR="0025389A" w:rsidRPr="003D1446" w:rsidP="0025389A" w14:paraId="7E77E61B" w14:textId="77777777">
      <w:pPr>
        <w:jc w:val="both"/>
        <w:rPr>
          <w:rFonts w:ascii="Arial" w:eastAsia="Times New Roman" w:hAnsi="Arial" w:cs="Arial"/>
          <w:i w:val="0"/>
          <w:spacing w:val="0"/>
          <w:sz w:val="16"/>
          <w:szCs w:val="16"/>
          <w:lang w:val="es-ES" w:eastAsia="x-none" w:bidi="ar-SA"/>
        </w:rPr>
      </w:pPr>
      <w:r>
        <w:rPr>
          <w:rFonts w:ascii="Arial" w:eastAsia="Times New Roman" w:hAnsi="Arial" w:cs="Arial"/>
          <w:i w:val="0"/>
          <w:spacing w:val="0"/>
          <w:sz w:val="16"/>
          <w:szCs w:val="16"/>
          <w:lang w:val="es-ES" w:eastAsia="x-none" w:bidi="ar-SA"/>
        </w:rPr>
        <w:t>Las inversiones de las reservas técnicas de las sociedades de capitalización están sujetas a los requisitos de calificación establecidos en el art. 2.31.3.1.3 del Decreto 2555 de 2010.</w:t>
      </w:r>
    </w:p>
    <w:p w:rsidR="0025389A" w:rsidP="0025389A" w14:paraId="58C3A699" w14:textId="77777777">
      <w:pPr>
        <w:ind w:right="51"/>
        <w:jc w:val="both"/>
        <w:rPr>
          <w:rFonts w:ascii="Arial" w:eastAsia="Times New Roman" w:hAnsi="Arial" w:cs="Times New Roman"/>
          <w:b/>
          <w:sz w:val="16"/>
          <w:szCs w:val="16"/>
          <w:lang w:val="es-ES" w:eastAsia="es-CO" w:bidi="ar-SA"/>
        </w:rPr>
      </w:pPr>
    </w:p>
    <w:p w:rsidR="008F1973" w:rsidP="008F1973" w14:paraId="64DB211C" w14:textId="77777777">
      <w:pPr>
        <w:pStyle w:val="ListParagraph"/>
        <w:pBdr>
          <w:left w:val="single" w:sz="4" w:space="4" w:color="auto"/>
        </w:pBdr>
        <w:ind w:left="0"/>
        <w:contextualSpacing/>
        <w:jc w:val="both"/>
        <w:rPr>
          <w:rFonts w:ascii="Arial" w:eastAsia="Times New Roman" w:hAnsi="Arial" w:cs="Arial"/>
          <w:b/>
          <w:sz w:val="16"/>
          <w:szCs w:val="16"/>
          <w:lang w:val="es-ES" w:eastAsia="es-CO" w:bidi="ar-SA"/>
        </w:rPr>
      </w:pPr>
      <w:r>
        <w:rPr>
          <w:rFonts w:ascii="Arial" w:eastAsia="Times New Roman" w:hAnsi="Arial" w:cs="Arial"/>
          <w:b/>
          <w:sz w:val="16"/>
          <w:szCs w:val="16"/>
          <w:lang w:val="es-ES" w:eastAsia="es-CO" w:bidi="ar-SA"/>
        </w:rPr>
        <w:t>3.4. Proceso de inversión y gestión de las inversiones que respaldan las reservas técnicas</w:t>
      </w:r>
    </w:p>
    <w:p w:rsidR="008F1973" w:rsidP="008F1973" w14:paraId="45920DBB" w14:textId="77777777">
      <w:pPr>
        <w:pStyle w:val="ListParagraph"/>
        <w:pBdr>
          <w:left w:val="single" w:sz="4" w:space="4" w:color="auto"/>
        </w:pBdr>
        <w:ind w:left="0"/>
        <w:contextualSpacing/>
        <w:jc w:val="both"/>
        <w:rPr>
          <w:rFonts w:ascii="Arial" w:eastAsia="Times New Roman" w:hAnsi="Arial" w:cs="Arial"/>
          <w:b/>
          <w:sz w:val="16"/>
          <w:szCs w:val="16"/>
          <w:lang w:val="es-ES" w:eastAsia="es-CO" w:bidi="ar-SA"/>
        </w:rPr>
      </w:pPr>
    </w:p>
    <w:p w:rsidR="00AC54DE" w:rsidRPr="00CD49C1" w:rsidP="00AC54DE" w14:paraId="0F25A19E" w14:textId="1E8E17B0">
      <w:pPr>
        <w:pStyle w:val="ListParagraph"/>
        <w:pBdr>
          <w:left w:val="single" w:sz="4" w:space="4" w:color="auto"/>
        </w:pBdr>
        <w:ind w:left="0"/>
        <w:contextualSpacing/>
        <w:jc w:val="both"/>
        <w:rPr>
          <w:rFonts w:ascii="Arial" w:eastAsia="Times New Roman" w:hAnsi="Arial" w:cs="Arial"/>
          <w:b/>
          <w:sz w:val="16"/>
          <w:szCs w:val="16"/>
          <w:lang w:val="es-ES" w:eastAsia="es-CO" w:bidi="ar-SA"/>
        </w:rPr>
      </w:pPr>
      <w:r w:rsidRPr="009A6FA3">
        <w:rPr>
          <w:rFonts w:ascii="Arial" w:eastAsia="Times New Roman" w:hAnsi="Arial" w:cs="Arial"/>
          <w:b/>
          <w:sz w:val="16"/>
          <w:szCs w:val="16"/>
          <w:lang w:val="es-CO" w:eastAsia="es-CO" w:bidi="ar-SA"/>
        </w:rPr>
        <w:t xml:space="preserve">Corresponde a la junta directiva de las </w:t>
      </w:r>
      <w:r w:rsidRPr="009A6FA3" w:rsidR="00CD49C1">
        <w:rPr>
          <w:rFonts w:ascii="Arial" w:eastAsia="Times New Roman" w:hAnsi="Arial" w:cs="Arial"/>
          <w:b/>
          <w:sz w:val="16"/>
          <w:szCs w:val="16"/>
          <w:lang w:val="es-CO" w:eastAsia="es-CO" w:bidi="ar-SA"/>
        </w:rPr>
        <w:t>sociedades de</w:t>
      </w:r>
      <w:r w:rsidR="00F24D2F">
        <w:rPr>
          <w:rFonts w:ascii="Arial" w:eastAsia="Times New Roman" w:hAnsi="Arial" w:cs="Arial"/>
          <w:b/>
          <w:sz w:val="16"/>
          <w:szCs w:val="16"/>
          <w:lang w:val="es-CO" w:eastAsia="es-CO" w:bidi="ar-SA"/>
        </w:rPr>
        <w:t xml:space="preserve"> </w:t>
      </w:r>
      <w:r w:rsidRPr="00F24D2F" w:rsidR="00F24D2F">
        <w:rPr>
          <w:rFonts w:ascii="Arial" w:eastAsia="Times New Roman" w:hAnsi="Arial" w:cs="Arial"/>
          <w:b/>
          <w:sz w:val="16"/>
          <w:szCs w:val="16"/>
          <w:lang w:val="es-CO" w:eastAsia="es-CO" w:bidi="ar-SA"/>
        </w:rPr>
        <w:t>capitalización</w:t>
      </w:r>
      <w:r w:rsidRPr="009A6FA3" w:rsidR="00CD49C1">
        <w:rPr>
          <w:rFonts w:ascii="Arial" w:eastAsia="Times New Roman" w:hAnsi="Arial" w:cs="Arial"/>
          <w:b/>
          <w:sz w:val="16"/>
          <w:szCs w:val="16"/>
          <w:lang w:val="es-CO" w:eastAsia="es-CO" w:bidi="ar-SA"/>
        </w:rPr>
        <w:t xml:space="preserve"> </w:t>
      </w:r>
      <w:r w:rsidRPr="009A6FA3" w:rsidR="009A6FA3">
        <w:rPr>
          <w:rFonts w:ascii="Arial" w:eastAsia="Times" w:hAnsi="Arial" w:cs="Arial"/>
          <w:b/>
          <w:sz w:val="16"/>
          <w:szCs w:val="16"/>
          <w:lang w:val="es-ES" w:eastAsia="es-CO" w:bidi="ar-SA"/>
        </w:rPr>
        <w:t>adoptar</w:t>
      </w:r>
      <w:r w:rsidR="000046EF">
        <w:rPr>
          <w:rFonts w:ascii="Arial" w:eastAsia="Times" w:hAnsi="Arial" w:cs="Arial"/>
          <w:b/>
          <w:sz w:val="16"/>
          <w:szCs w:val="16"/>
          <w:lang w:val="es-ES" w:eastAsia="es-CO" w:bidi="ar-SA"/>
        </w:rPr>
        <w:t xml:space="preserve"> y hacer seguimiento</w:t>
      </w:r>
      <w:r w:rsidRPr="009A6FA3" w:rsidR="009A6FA3">
        <w:rPr>
          <w:rFonts w:ascii="Arial" w:eastAsia="Times" w:hAnsi="Arial" w:cs="Arial"/>
          <w:b/>
          <w:sz w:val="16"/>
          <w:szCs w:val="16"/>
          <w:lang w:val="es-ES" w:eastAsia="es-CO" w:bidi="ar-SA"/>
        </w:rPr>
        <w:t xml:space="preserve"> </w:t>
      </w:r>
      <w:r w:rsidR="003856E5">
        <w:rPr>
          <w:rFonts w:ascii="Arial" w:eastAsia="Times" w:hAnsi="Arial" w:cs="Arial"/>
          <w:b/>
          <w:sz w:val="16"/>
          <w:szCs w:val="16"/>
          <w:lang w:val="es-ES" w:eastAsia="es-CO" w:bidi="ar-SA"/>
        </w:rPr>
        <w:t xml:space="preserve">a </w:t>
      </w:r>
      <w:r w:rsidRPr="009A6FA3" w:rsidR="009A6FA3">
        <w:rPr>
          <w:rFonts w:ascii="Arial" w:eastAsia="Times" w:hAnsi="Arial" w:cs="Arial"/>
          <w:b/>
          <w:sz w:val="16"/>
          <w:szCs w:val="16"/>
          <w:lang w:val="es-ES" w:eastAsia="es-CO" w:bidi="ar-SA"/>
        </w:rPr>
        <w:t>la política de inversión de los activos que respaldan las reservas técnicas y demás activos</w:t>
      </w:r>
      <w:r w:rsidR="00735D83">
        <w:rPr>
          <w:rFonts w:ascii="Arial" w:eastAsia="Times" w:hAnsi="Arial" w:cs="Arial"/>
          <w:b/>
          <w:sz w:val="16"/>
          <w:szCs w:val="16"/>
          <w:lang w:val="es-ES" w:eastAsia="es-CO" w:bidi="ar-SA"/>
        </w:rPr>
        <w:t>,</w:t>
      </w:r>
      <w:r w:rsidRPr="009A6FA3" w:rsidR="009A6FA3">
        <w:rPr>
          <w:rFonts w:ascii="Arial" w:eastAsia="Times" w:hAnsi="Arial" w:cs="Arial"/>
          <w:b/>
          <w:sz w:val="16"/>
          <w:szCs w:val="16"/>
          <w:lang w:val="es-ES" w:eastAsia="es-CO" w:bidi="ar-SA"/>
        </w:rPr>
        <w:t xml:space="preserve"> de conformidad</w:t>
      </w:r>
      <w:r w:rsidRPr="00FBCB9C" w:rsidR="009A6FA3">
        <w:rPr>
          <w:rFonts w:ascii="Arial" w:eastAsia="Times" w:hAnsi="Arial" w:cs="Arial"/>
          <w:sz w:val="16"/>
          <w:szCs w:val="16"/>
          <w:lang w:val="es-ES" w:eastAsia="es-CO" w:bidi="ar-SA"/>
        </w:rPr>
        <w:t xml:space="preserve"> </w:t>
      </w:r>
      <w:r w:rsidRPr="00AC54DE">
        <w:rPr>
          <w:rFonts w:ascii="Arial" w:eastAsia="Times New Roman" w:hAnsi="Arial" w:cs="Arial"/>
          <w:b/>
          <w:sz w:val="16"/>
          <w:szCs w:val="16"/>
          <w:lang w:val="es-CO" w:eastAsia="es-CO" w:bidi="ar-SA"/>
        </w:rPr>
        <w:t>con lo establecido en la normatividad vigente. Para tal fin, a continuación se establece el contenido mínimo de las políticas de inversión</w:t>
      </w:r>
      <w:r w:rsidR="00CD49C1">
        <w:rPr>
          <w:rFonts w:ascii="Arial" w:eastAsia="Times New Roman" w:hAnsi="Arial" w:cs="Arial"/>
          <w:b/>
          <w:sz w:val="16"/>
          <w:szCs w:val="16"/>
          <w:lang w:val="es-CO" w:eastAsia="es-CO" w:bidi="ar-SA"/>
        </w:rPr>
        <w:t xml:space="preserve">, </w:t>
      </w:r>
      <w:r w:rsidR="009A6FA3">
        <w:rPr>
          <w:rFonts w:ascii="Arial" w:eastAsia="Times New Roman" w:hAnsi="Arial" w:cs="Arial"/>
          <w:b/>
          <w:sz w:val="16"/>
          <w:szCs w:val="16"/>
          <w:lang w:val="es-CO" w:eastAsia="es-CO" w:bidi="ar-SA"/>
        </w:rPr>
        <w:t xml:space="preserve">y </w:t>
      </w:r>
      <w:r w:rsidRPr="00AC54DE">
        <w:rPr>
          <w:rFonts w:ascii="Arial" w:eastAsia="Times New Roman" w:hAnsi="Arial" w:cs="Arial"/>
          <w:b/>
          <w:sz w:val="16"/>
          <w:szCs w:val="16"/>
          <w:lang w:val="es-CO" w:eastAsia="es-CO" w:bidi="ar-SA"/>
        </w:rPr>
        <w:t xml:space="preserve">las responsabilidades de la junta directiva y la auditoría interna en relación con </w:t>
      </w:r>
      <w:r w:rsidR="00CD49C1">
        <w:rPr>
          <w:rFonts w:ascii="Arial" w:eastAsia="Times New Roman" w:hAnsi="Arial" w:cs="Arial"/>
          <w:b/>
          <w:sz w:val="16"/>
          <w:szCs w:val="16"/>
          <w:lang w:val="es-CO" w:eastAsia="es-CO" w:bidi="ar-SA"/>
        </w:rPr>
        <w:t xml:space="preserve">dicha </w:t>
      </w:r>
      <w:r w:rsidRPr="00AC54DE">
        <w:rPr>
          <w:rFonts w:ascii="Arial" w:eastAsia="Times New Roman" w:hAnsi="Arial" w:cs="Arial"/>
          <w:b/>
          <w:sz w:val="16"/>
          <w:szCs w:val="16"/>
          <w:lang w:val="es-CO" w:eastAsia="es-CO" w:bidi="ar-SA"/>
        </w:rPr>
        <w:t>política</w:t>
      </w:r>
      <w:r w:rsidR="00CD49C1">
        <w:rPr>
          <w:rFonts w:ascii="Arial" w:eastAsia="Times New Roman" w:hAnsi="Arial" w:cs="Arial"/>
          <w:b/>
          <w:sz w:val="16"/>
          <w:szCs w:val="16"/>
          <w:lang w:val="es-CO" w:eastAsia="es-CO" w:bidi="ar-SA"/>
        </w:rPr>
        <w:t xml:space="preserve"> </w:t>
      </w:r>
      <w:r w:rsidRPr="00AC54DE">
        <w:rPr>
          <w:rFonts w:ascii="Arial" w:eastAsia="Times New Roman" w:hAnsi="Arial" w:cs="Arial"/>
          <w:b/>
          <w:sz w:val="16"/>
          <w:szCs w:val="16"/>
          <w:lang w:val="es-CO" w:eastAsia="es-CO" w:bidi="ar-SA"/>
        </w:rPr>
        <w:t xml:space="preserve">y sus deberes de documentación y reporte. </w:t>
      </w:r>
    </w:p>
    <w:p w:rsidR="00AC54DE" w:rsidRPr="00AC54DE" w:rsidP="00AC54DE" w14:paraId="31B5E658"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RPr="00AC54DE" w:rsidP="00AC54DE" w14:paraId="2A527D6F"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Pr>
          <w:rFonts w:ascii="Arial" w:eastAsia="Times New Roman" w:hAnsi="Arial" w:cs="Arial"/>
          <w:b/>
          <w:sz w:val="16"/>
          <w:szCs w:val="16"/>
          <w:lang w:val="es-CO" w:eastAsia="es-CO" w:bidi="ar-SA"/>
        </w:rPr>
        <w:t>3.4.1</w:t>
      </w:r>
      <w:r w:rsidRPr="00AC54DE">
        <w:rPr>
          <w:rFonts w:ascii="Arial" w:eastAsia="Times New Roman" w:hAnsi="Arial" w:cs="Arial"/>
          <w:b/>
          <w:sz w:val="16"/>
          <w:szCs w:val="16"/>
          <w:lang w:val="es-CO" w:eastAsia="es-CO" w:bidi="ar-SA"/>
        </w:rPr>
        <w:t>. Políticas de inversión</w:t>
      </w:r>
    </w:p>
    <w:p w:rsidR="00AC54DE" w:rsidRPr="00AC54DE" w:rsidP="00AC54DE" w14:paraId="39A2DF65"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RPr="00AC54DE" w:rsidP="00AC54DE" w14:paraId="3860F7E3"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008007C0">
        <w:rPr>
          <w:rFonts w:ascii="Arial" w:eastAsia="Times New Roman" w:hAnsi="Arial" w:cs="Arial"/>
          <w:b/>
          <w:sz w:val="16"/>
          <w:szCs w:val="16"/>
          <w:lang w:val="es-CO" w:eastAsia="es-CO" w:bidi="ar-SA"/>
        </w:rPr>
        <w:t>La política de inversión de</w:t>
      </w:r>
      <w:r w:rsidR="00337367">
        <w:rPr>
          <w:rFonts w:ascii="Arial" w:eastAsia="Times New Roman" w:hAnsi="Arial" w:cs="Arial"/>
          <w:b/>
          <w:sz w:val="16"/>
          <w:szCs w:val="16"/>
          <w:lang w:val="es-CO" w:eastAsia="es-CO" w:bidi="ar-SA"/>
        </w:rPr>
        <w:t xml:space="preserve"> las sociedades de capitalización de que </w:t>
      </w:r>
      <w:r w:rsidRPr="008007C0">
        <w:rPr>
          <w:rFonts w:ascii="Arial" w:eastAsia="Times New Roman" w:hAnsi="Arial" w:cs="Arial"/>
          <w:b/>
          <w:sz w:val="16"/>
          <w:szCs w:val="16"/>
          <w:lang w:val="es-CO" w:eastAsia="es-CO" w:bidi="ar-SA"/>
        </w:rPr>
        <w:t>trata</w:t>
      </w:r>
      <w:r w:rsidR="00337367">
        <w:rPr>
          <w:rFonts w:ascii="Arial" w:eastAsia="Times New Roman" w:hAnsi="Arial" w:cs="Arial"/>
          <w:b/>
          <w:sz w:val="16"/>
          <w:szCs w:val="16"/>
          <w:lang w:val="es-CO" w:eastAsia="es-CO" w:bidi="ar-SA"/>
        </w:rPr>
        <w:t xml:space="preserve"> el Título 3 del Libro 31 de la Parte 2 del Decreto 2555 de 2010 y </w:t>
      </w:r>
      <w:bookmarkStart w:id="10" w:name="_Hlk67495721"/>
      <w:r w:rsidR="00337367">
        <w:rPr>
          <w:rFonts w:ascii="Arial" w:eastAsia="Times New Roman" w:hAnsi="Arial" w:cs="Arial"/>
          <w:b/>
          <w:sz w:val="16"/>
          <w:szCs w:val="16"/>
          <w:lang w:val="es-CO" w:eastAsia="es-CO" w:bidi="ar-SA"/>
        </w:rPr>
        <w:t>demás</w:t>
      </w:r>
      <w:r w:rsidR="009071CD">
        <w:rPr>
          <w:rFonts w:ascii="Arial" w:eastAsia="Times New Roman" w:hAnsi="Arial" w:cs="Arial"/>
          <w:b/>
          <w:sz w:val="16"/>
          <w:szCs w:val="16"/>
          <w:lang w:val="es-CO" w:eastAsia="es-CO" w:bidi="ar-SA"/>
        </w:rPr>
        <w:t xml:space="preserve"> disposiciones</w:t>
      </w:r>
      <w:bookmarkEnd w:id="10"/>
      <w:r w:rsidR="00337367">
        <w:rPr>
          <w:rFonts w:ascii="Arial" w:eastAsia="Times New Roman" w:hAnsi="Arial" w:cs="Arial"/>
          <w:b/>
          <w:sz w:val="16"/>
          <w:szCs w:val="16"/>
          <w:lang w:val="es-CO" w:eastAsia="es-CO" w:bidi="ar-SA"/>
        </w:rPr>
        <w:t xml:space="preserve"> concordantes</w:t>
      </w:r>
      <w:r w:rsidRPr="00AC54DE">
        <w:rPr>
          <w:rFonts w:ascii="Arial" w:eastAsia="Times New Roman" w:hAnsi="Arial" w:cs="Arial"/>
          <w:b/>
          <w:sz w:val="16"/>
          <w:szCs w:val="16"/>
          <w:lang w:val="es-CO" w:eastAsia="es-CO" w:bidi="ar-SA"/>
        </w:rPr>
        <w:t>, debe contener como mínimo, la siguiente información:</w:t>
      </w:r>
    </w:p>
    <w:p w:rsidR="00AC54DE" w:rsidRPr="00AC54DE" w:rsidP="00AC54DE" w14:paraId="7B12A344"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RPr="00AC54DE" w:rsidP="00AC54DE" w14:paraId="150E65CF" w14:textId="44D47699">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Pr>
          <w:rFonts w:ascii="Arial" w:eastAsia="Times New Roman" w:hAnsi="Arial" w:cs="Arial"/>
          <w:b/>
          <w:sz w:val="16"/>
          <w:szCs w:val="16"/>
          <w:lang w:val="es-CO" w:eastAsia="es-CO" w:bidi="ar-SA"/>
        </w:rPr>
        <w:t>3.4.</w:t>
      </w:r>
      <w:r w:rsidRPr="00AC54DE">
        <w:rPr>
          <w:rFonts w:ascii="Arial" w:eastAsia="Times New Roman" w:hAnsi="Arial" w:cs="Arial"/>
          <w:b/>
          <w:sz w:val="16"/>
          <w:szCs w:val="16"/>
          <w:lang w:val="es-CO" w:eastAsia="es-CO" w:bidi="ar-SA"/>
        </w:rPr>
        <w:t>1.1. Objetivos de la política de inversión, los cuales deben</w:t>
      </w:r>
      <w:r w:rsidR="002F6C3C">
        <w:rPr>
          <w:rFonts w:ascii="Arial" w:eastAsia="Times New Roman" w:hAnsi="Arial" w:cs="Arial"/>
          <w:b/>
          <w:sz w:val="16"/>
          <w:szCs w:val="16"/>
          <w:lang w:val="es-CO" w:eastAsia="es-CO" w:bidi="ar-SA"/>
        </w:rPr>
        <w:t xml:space="preserve"> atender</w:t>
      </w:r>
      <w:r w:rsidR="00F24D2F">
        <w:rPr>
          <w:rFonts w:ascii="Arial" w:eastAsia="Times New Roman" w:hAnsi="Arial" w:cs="Arial"/>
          <w:b/>
          <w:sz w:val="16"/>
          <w:szCs w:val="16"/>
          <w:lang w:val="es-CO" w:eastAsia="es-CO" w:bidi="ar-SA"/>
        </w:rPr>
        <w:t xml:space="preserve"> </w:t>
      </w:r>
      <w:r w:rsidR="0008386C">
        <w:rPr>
          <w:rFonts w:ascii="Arial" w:eastAsia="Times New Roman" w:hAnsi="Arial" w:cs="Arial"/>
          <w:b/>
          <w:sz w:val="16"/>
          <w:szCs w:val="16"/>
          <w:lang w:val="es-CO" w:eastAsia="es-CO" w:bidi="ar-SA"/>
        </w:rPr>
        <w:t xml:space="preserve">por lo menos </w:t>
      </w:r>
      <w:r w:rsidRPr="00AC54DE">
        <w:rPr>
          <w:rFonts w:ascii="Arial" w:eastAsia="Times New Roman" w:hAnsi="Arial" w:cs="Arial"/>
          <w:b/>
          <w:sz w:val="16"/>
          <w:szCs w:val="16"/>
          <w:lang w:val="es-CO" w:eastAsia="es-CO" w:bidi="ar-SA"/>
        </w:rPr>
        <w:t>a</w:t>
      </w:r>
      <w:r w:rsidR="00857B1D">
        <w:rPr>
          <w:rFonts w:ascii="Arial" w:eastAsia="Times New Roman" w:hAnsi="Arial" w:cs="Arial"/>
          <w:b/>
          <w:sz w:val="16"/>
          <w:szCs w:val="16"/>
          <w:lang w:val="es-CO" w:eastAsia="es-CO" w:bidi="ar-SA"/>
        </w:rPr>
        <w:t>:</w:t>
      </w:r>
      <w:r w:rsidRPr="00AC54DE">
        <w:rPr>
          <w:rFonts w:ascii="Arial" w:eastAsia="Times New Roman" w:hAnsi="Arial" w:cs="Arial"/>
          <w:b/>
          <w:sz w:val="16"/>
          <w:szCs w:val="16"/>
          <w:lang w:val="es-CO" w:eastAsia="es-CO" w:bidi="ar-SA"/>
        </w:rPr>
        <w:t xml:space="preserve"> (i) la naturaleza, duración y moneda</w:t>
      </w:r>
      <w:r w:rsidR="00B718C5">
        <w:rPr>
          <w:rFonts w:ascii="Arial" w:eastAsia="Times New Roman" w:hAnsi="Arial" w:cs="Arial"/>
          <w:b/>
          <w:sz w:val="16"/>
          <w:szCs w:val="16"/>
          <w:lang w:val="es-CO" w:eastAsia="es-CO" w:bidi="ar-SA"/>
        </w:rPr>
        <w:t>s</w:t>
      </w:r>
      <w:r w:rsidRPr="00AC54DE">
        <w:rPr>
          <w:rFonts w:ascii="Arial" w:eastAsia="Times New Roman" w:hAnsi="Arial" w:cs="Arial"/>
          <w:b/>
          <w:sz w:val="16"/>
          <w:szCs w:val="16"/>
          <w:lang w:val="es-CO" w:eastAsia="es-CO" w:bidi="ar-SA"/>
        </w:rPr>
        <w:t xml:space="preserve"> subyacentes a las obligaciones por</w:t>
      </w:r>
      <w:r w:rsidR="001F5E08">
        <w:rPr>
          <w:rFonts w:ascii="Arial" w:eastAsia="Times New Roman" w:hAnsi="Arial" w:cs="Arial"/>
          <w:b/>
          <w:sz w:val="16"/>
          <w:szCs w:val="16"/>
          <w:lang w:val="es-CO" w:eastAsia="es-CO" w:bidi="ar-SA"/>
        </w:rPr>
        <w:t xml:space="preserve"> títulos de capitalización</w:t>
      </w:r>
      <w:r w:rsidRPr="00AC54DE">
        <w:rPr>
          <w:rFonts w:ascii="Arial" w:eastAsia="Times New Roman" w:hAnsi="Arial" w:cs="Arial"/>
          <w:b/>
          <w:sz w:val="16"/>
          <w:szCs w:val="16"/>
          <w:lang w:val="es-CO" w:eastAsia="es-CO" w:bidi="ar-SA"/>
        </w:rPr>
        <w:t xml:space="preserve">, (ii) el calce adecuado de plazo y tasas entre los activos y pasivos, y (iii) las necesidades de liquidez conforme al modelo de negocio y portafolio de </w:t>
      </w:r>
      <w:r w:rsidR="006B7033">
        <w:rPr>
          <w:rFonts w:ascii="Arial" w:eastAsia="Times New Roman" w:hAnsi="Arial" w:cs="Arial"/>
          <w:b/>
          <w:sz w:val="16"/>
          <w:szCs w:val="16"/>
          <w:lang w:val="es-CO" w:eastAsia="es-CO" w:bidi="ar-SA"/>
        </w:rPr>
        <w:t>títulos de capitalización</w:t>
      </w:r>
      <w:r w:rsidRPr="00AC54DE">
        <w:rPr>
          <w:rFonts w:ascii="Arial" w:eastAsia="Times New Roman" w:hAnsi="Arial" w:cs="Arial"/>
          <w:b/>
          <w:sz w:val="16"/>
          <w:szCs w:val="16"/>
          <w:lang w:val="es-CO" w:eastAsia="es-CO" w:bidi="ar-SA"/>
        </w:rPr>
        <w:t>.</w:t>
      </w:r>
    </w:p>
    <w:p w:rsidR="00AC54DE" w:rsidRPr="00AC54DE" w:rsidP="00AC54DE" w14:paraId="646484A6"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RPr="00AC54DE" w:rsidP="00AC54DE" w14:paraId="7F41B4F5"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48C163FB">
        <w:rPr>
          <w:rFonts w:ascii="Arial" w:eastAsia="Times New Roman" w:hAnsi="Arial" w:cs="Arial"/>
          <w:b/>
          <w:bCs/>
          <w:sz w:val="16"/>
          <w:szCs w:val="16"/>
          <w:lang w:val="es-CO" w:eastAsia="es-CO" w:bidi="ar-SA"/>
        </w:rPr>
        <w:t>3.4</w:t>
      </w:r>
      <w:r w:rsidRPr="00AC54DE">
        <w:rPr>
          <w:rFonts w:ascii="Arial" w:eastAsia="Times New Roman" w:hAnsi="Arial" w:cs="Arial"/>
          <w:b/>
          <w:sz w:val="16"/>
          <w:szCs w:val="16"/>
          <w:lang w:val="es-CO" w:eastAsia="es-CO" w:bidi="ar-SA"/>
        </w:rPr>
        <w:t>.</w:t>
      </w:r>
      <w:r w:rsidR="00F24D2F">
        <w:rPr>
          <w:rFonts w:ascii="Arial" w:eastAsia="Times New Roman" w:hAnsi="Arial" w:cs="Arial"/>
          <w:b/>
          <w:sz w:val="16"/>
          <w:szCs w:val="16"/>
          <w:lang w:val="es-CO" w:eastAsia="es-CO" w:bidi="ar-SA"/>
        </w:rPr>
        <w:t>1.</w:t>
      </w:r>
      <w:r w:rsidRPr="00AC54DE">
        <w:rPr>
          <w:rFonts w:ascii="Arial" w:eastAsia="Times New Roman" w:hAnsi="Arial" w:cs="Arial"/>
          <w:b/>
          <w:sz w:val="16"/>
          <w:szCs w:val="16"/>
          <w:lang w:val="es-CO" w:eastAsia="es-CO" w:bidi="ar-SA"/>
        </w:rPr>
        <w:t xml:space="preserve">2. </w:t>
      </w:r>
      <w:r w:rsidRPr="007A0E11" w:rsidR="007A0E11">
        <w:rPr>
          <w:rFonts w:ascii="Arial" w:eastAsia="Times New Roman" w:hAnsi="Arial" w:cs="Arial"/>
          <w:b/>
          <w:sz w:val="16"/>
          <w:szCs w:val="16"/>
          <w:lang w:val="es-CO" w:eastAsia="es-CO" w:bidi="ar-SA"/>
        </w:rPr>
        <w:t>Criterios generales para la selección de los activos susceptibles de inversión y los límites de inversión</w:t>
      </w:r>
      <w:r w:rsidRPr="00897396" w:rsidR="00897396">
        <w:rPr>
          <w:rFonts w:ascii="Arial" w:eastAsia="Times New Roman" w:hAnsi="Arial" w:cs="Arial"/>
          <w:b/>
          <w:sz w:val="16"/>
          <w:szCs w:val="16"/>
          <w:lang w:val="es-CO" w:eastAsia="es-CO" w:bidi="ar-SA"/>
        </w:rPr>
        <w:t>.</w:t>
      </w:r>
    </w:p>
    <w:p w:rsidR="00AC54DE" w:rsidRPr="00AC54DE" w:rsidP="00AC54DE" w14:paraId="16C82759"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RPr="00EE59C5" w:rsidP="00AC54DE" w14:paraId="179A3D0D" w14:textId="795C721A">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00AC54DE">
        <w:rPr>
          <w:rFonts w:ascii="Arial" w:eastAsia="Times New Roman" w:hAnsi="Arial" w:cs="Arial"/>
          <w:b/>
          <w:sz w:val="16"/>
          <w:szCs w:val="16"/>
          <w:lang w:val="es-CO" w:eastAsia="es-CO" w:bidi="ar-SA"/>
        </w:rPr>
        <w:t>3.</w:t>
      </w:r>
      <w:r w:rsidRPr="48C163FB" w:rsidR="10B15BD5">
        <w:rPr>
          <w:rFonts w:ascii="Arial" w:eastAsia="Times New Roman" w:hAnsi="Arial" w:cs="Arial"/>
          <w:b/>
          <w:bCs/>
          <w:sz w:val="16"/>
          <w:szCs w:val="16"/>
          <w:lang w:val="es-CO" w:eastAsia="es-CO" w:bidi="ar-SA"/>
        </w:rPr>
        <w:t>4</w:t>
      </w:r>
      <w:r w:rsidRPr="48C163FB">
        <w:rPr>
          <w:rFonts w:ascii="Arial" w:eastAsia="Times New Roman" w:hAnsi="Arial" w:cs="Arial"/>
          <w:b/>
          <w:bCs/>
          <w:sz w:val="16"/>
          <w:szCs w:val="16"/>
          <w:lang w:val="es-CO" w:eastAsia="es-CO" w:bidi="ar-SA"/>
        </w:rPr>
        <w:t>.</w:t>
      </w:r>
      <w:r w:rsidR="00F24D2F">
        <w:rPr>
          <w:rFonts w:ascii="Arial" w:eastAsia="Times New Roman" w:hAnsi="Arial" w:cs="Arial"/>
          <w:b/>
          <w:bCs/>
          <w:sz w:val="16"/>
          <w:szCs w:val="16"/>
          <w:lang w:val="es-CO" w:eastAsia="es-CO" w:bidi="ar-SA"/>
        </w:rPr>
        <w:t>1.</w:t>
      </w:r>
      <w:r w:rsidRPr="48C163FB">
        <w:rPr>
          <w:rFonts w:ascii="Arial" w:eastAsia="Times New Roman" w:hAnsi="Arial" w:cs="Arial"/>
          <w:b/>
          <w:bCs/>
          <w:sz w:val="16"/>
          <w:szCs w:val="16"/>
          <w:lang w:val="es-CO" w:eastAsia="es-CO" w:bidi="ar-SA"/>
        </w:rPr>
        <w:t>3.</w:t>
      </w:r>
      <w:r w:rsidRPr="00AC54DE">
        <w:rPr>
          <w:rFonts w:ascii="Arial" w:eastAsia="Times New Roman" w:hAnsi="Arial" w:cs="Arial"/>
          <w:b/>
          <w:sz w:val="16"/>
          <w:szCs w:val="16"/>
          <w:lang w:val="es-CO" w:eastAsia="es-CO" w:bidi="ar-SA"/>
        </w:rPr>
        <w:t xml:space="preserve"> </w:t>
      </w:r>
      <w:r w:rsidRPr="007A0E11" w:rsidR="007A0E11">
        <w:rPr>
          <w:rFonts w:ascii="Arial" w:eastAsia="Times New Roman" w:hAnsi="Arial" w:cs="Arial"/>
          <w:b/>
          <w:sz w:val="16"/>
          <w:szCs w:val="16"/>
          <w:lang w:val="es-CO" w:eastAsia="es-CO" w:bidi="ar-SA"/>
        </w:rPr>
        <w:t>Tratamiento de los activos considerados como alternativos. En caso de que la junta directiva decida contemplar activos alternativos dentro de su política de inversión, debe incluir</w:t>
      </w:r>
      <w:r w:rsidR="00FF68CF">
        <w:rPr>
          <w:rFonts w:ascii="Arial" w:eastAsia="Times New Roman" w:hAnsi="Arial" w:cs="Arial"/>
          <w:b/>
          <w:sz w:val="16"/>
          <w:szCs w:val="16"/>
          <w:lang w:val="es-CO" w:eastAsia="es-CO" w:bidi="ar-SA"/>
        </w:rPr>
        <w:t>se</w:t>
      </w:r>
      <w:r w:rsidRPr="007A0E11" w:rsidR="007A0E11">
        <w:rPr>
          <w:rFonts w:ascii="Arial" w:eastAsia="Times New Roman" w:hAnsi="Arial" w:cs="Arial"/>
          <w:b/>
          <w:sz w:val="16"/>
          <w:szCs w:val="16"/>
          <w:lang w:val="es-CO" w:eastAsia="es-CO" w:bidi="ar-SA"/>
        </w:rPr>
        <w:t xml:space="preserve"> un capítulo que señale su tratamiento y contemple por lo menos los siguientes aspectos:</w:t>
      </w:r>
    </w:p>
    <w:p w:rsidR="00897396" w:rsidRPr="00AC54DE" w:rsidP="00AC54DE" w14:paraId="1324ECA6"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RPr="00AC54DE" w:rsidP="00AC54DE" w14:paraId="0A975661" w14:textId="200C5FF8">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4B22980C">
        <w:rPr>
          <w:rFonts w:ascii="Arial" w:eastAsia="Times New Roman" w:hAnsi="Arial" w:cs="Arial"/>
          <w:b/>
          <w:bCs/>
          <w:sz w:val="16"/>
          <w:szCs w:val="16"/>
          <w:lang w:val="es-CO" w:eastAsia="es-CO" w:bidi="ar-SA"/>
        </w:rPr>
        <w:t>3.</w:t>
      </w:r>
      <w:r w:rsidRPr="502C87CE">
        <w:rPr>
          <w:rFonts w:ascii="Arial" w:eastAsia="Times New Roman" w:hAnsi="Arial" w:cs="Arial"/>
          <w:b/>
          <w:bCs/>
          <w:sz w:val="16"/>
          <w:szCs w:val="16"/>
          <w:lang w:val="es-CO" w:eastAsia="es-CO" w:bidi="ar-SA"/>
        </w:rPr>
        <w:t>4</w:t>
      </w:r>
      <w:r w:rsidRPr="4B22980C">
        <w:rPr>
          <w:rFonts w:ascii="Arial" w:eastAsia="Times New Roman" w:hAnsi="Arial" w:cs="Arial"/>
          <w:b/>
          <w:bCs/>
          <w:sz w:val="16"/>
          <w:szCs w:val="16"/>
          <w:lang w:val="es-CO" w:eastAsia="es-CO" w:bidi="ar-SA"/>
        </w:rPr>
        <w:t>.</w:t>
      </w:r>
      <w:r w:rsidR="00F24D2F">
        <w:rPr>
          <w:rFonts w:ascii="Arial" w:eastAsia="Times New Roman" w:hAnsi="Arial" w:cs="Arial"/>
          <w:b/>
          <w:bCs/>
          <w:sz w:val="16"/>
          <w:szCs w:val="16"/>
          <w:lang w:val="es-CO" w:eastAsia="es-CO" w:bidi="ar-SA"/>
        </w:rPr>
        <w:t>1.</w:t>
      </w:r>
      <w:r w:rsidRPr="4B22980C">
        <w:rPr>
          <w:rFonts w:ascii="Arial" w:eastAsia="Times New Roman" w:hAnsi="Arial" w:cs="Arial"/>
          <w:b/>
          <w:bCs/>
          <w:sz w:val="16"/>
          <w:szCs w:val="16"/>
          <w:lang w:val="es-CO" w:eastAsia="es-CO" w:bidi="ar-SA"/>
        </w:rPr>
        <w:t>3.</w:t>
      </w:r>
      <w:r w:rsidRPr="00AC54DE">
        <w:rPr>
          <w:rFonts w:ascii="Arial" w:eastAsia="Times New Roman" w:hAnsi="Arial" w:cs="Arial"/>
          <w:b/>
          <w:sz w:val="16"/>
          <w:szCs w:val="16"/>
          <w:lang w:val="es-CO" w:eastAsia="es-CO" w:bidi="ar-SA"/>
        </w:rPr>
        <w:t>1</w:t>
      </w:r>
      <w:r w:rsidRPr="007B0E98">
        <w:rPr>
          <w:rFonts w:ascii="Arial" w:eastAsia="Times New Roman" w:hAnsi="Arial" w:cs="Arial"/>
          <w:b/>
          <w:bCs/>
          <w:sz w:val="16"/>
          <w:szCs w:val="16"/>
          <w:lang w:val="es-CO" w:eastAsia="es-CO" w:bidi="ar-SA"/>
        </w:rPr>
        <w:t>.</w:t>
      </w:r>
      <w:r w:rsidRPr="00AC54DE">
        <w:rPr>
          <w:rFonts w:ascii="Arial" w:eastAsia="Times New Roman" w:hAnsi="Arial" w:cs="Arial"/>
          <w:b/>
          <w:sz w:val="16"/>
          <w:szCs w:val="16"/>
          <w:lang w:val="es-CO" w:eastAsia="es-CO" w:bidi="ar-SA"/>
        </w:rPr>
        <w:t xml:space="preserve"> </w:t>
      </w:r>
      <w:r w:rsidRPr="007A0E11" w:rsidR="007A0E11">
        <w:rPr>
          <w:rFonts w:ascii="Arial" w:eastAsia="Times New Roman" w:hAnsi="Arial" w:cs="Arial"/>
          <w:b/>
          <w:sz w:val="16"/>
          <w:szCs w:val="16"/>
          <w:lang w:val="es-CO" w:eastAsia="es-CO" w:bidi="ar-SA"/>
        </w:rPr>
        <w:t xml:space="preserve">Los modelos y metodologías adoptados por la </w:t>
      </w:r>
      <w:r w:rsidRPr="009A6FA3" w:rsidR="00115FCD">
        <w:rPr>
          <w:rFonts w:ascii="Arial" w:eastAsia="Times New Roman" w:hAnsi="Arial" w:cs="Arial"/>
          <w:b/>
          <w:sz w:val="16"/>
          <w:szCs w:val="16"/>
          <w:lang w:val="es-CO" w:eastAsia="es-CO" w:bidi="ar-SA"/>
        </w:rPr>
        <w:t>sociedad de</w:t>
      </w:r>
      <w:r w:rsidR="00115FCD">
        <w:rPr>
          <w:rFonts w:ascii="Arial" w:eastAsia="Times New Roman" w:hAnsi="Arial" w:cs="Arial"/>
          <w:b/>
          <w:sz w:val="16"/>
          <w:szCs w:val="16"/>
          <w:lang w:val="es-CO" w:eastAsia="es-CO" w:bidi="ar-SA"/>
        </w:rPr>
        <w:t xml:space="preserve"> </w:t>
      </w:r>
      <w:r w:rsidRPr="00F24D2F" w:rsidR="00115FCD">
        <w:rPr>
          <w:rFonts w:ascii="Arial" w:eastAsia="Times New Roman" w:hAnsi="Arial" w:cs="Arial"/>
          <w:b/>
          <w:sz w:val="16"/>
          <w:szCs w:val="16"/>
          <w:lang w:val="es-CO" w:eastAsia="es-CO" w:bidi="ar-SA"/>
        </w:rPr>
        <w:t>capitalización</w:t>
      </w:r>
      <w:r w:rsidRPr="009A6FA3" w:rsidR="00115FCD">
        <w:rPr>
          <w:rFonts w:ascii="Arial" w:eastAsia="Times New Roman" w:hAnsi="Arial" w:cs="Arial"/>
          <w:b/>
          <w:sz w:val="16"/>
          <w:szCs w:val="16"/>
          <w:lang w:val="es-CO" w:eastAsia="es-CO" w:bidi="ar-SA"/>
        </w:rPr>
        <w:t xml:space="preserve"> </w:t>
      </w:r>
      <w:r w:rsidRPr="007A0E11" w:rsidR="007A0E11">
        <w:rPr>
          <w:rFonts w:ascii="Arial" w:eastAsia="Times New Roman" w:hAnsi="Arial" w:cs="Arial"/>
          <w:b/>
          <w:sz w:val="16"/>
          <w:szCs w:val="16"/>
          <w:lang w:val="es-CO" w:eastAsia="es-CO" w:bidi="ar-SA"/>
        </w:rPr>
        <w:t xml:space="preserve">para la medición y valoración del riesgo financiero asociado </w:t>
      </w:r>
      <w:r w:rsidR="00A55008">
        <w:rPr>
          <w:rFonts w:ascii="Arial" w:eastAsia="Times New Roman" w:hAnsi="Arial" w:cs="Arial"/>
          <w:b/>
          <w:sz w:val="16"/>
          <w:szCs w:val="16"/>
          <w:lang w:val="es-CO" w:eastAsia="es-CO" w:bidi="ar-SA"/>
        </w:rPr>
        <w:t xml:space="preserve">a </w:t>
      </w:r>
      <w:r w:rsidRPr="007A0E11" w:rsidR="007A0E11">
        <w:rPr>
          <w:rFonts w:ascii="Arial" w:eastAsia="Times New Roman" w:hAnsi="Arial" w:cs="Arial"/>
          <w:b/>
          <w:sz w:val="16"/>
          <w:szCs w:val="16"/>
          <w:lang w:val="es-CO" w:eastAsia="es-CO" w:bidi="ar-SA"/>
        </w:rPr>
        <w:t>este tipo de inversiones.</w:t>
      </w:r>
    </w:p>
    <w:p w:rsidR="00AC54DE" w:rsidRPr="00AC54DE" w:rsidP="00AC54DE" w14:paraId="6AD971F2"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RPr="00AC54DE" w:rsidP="00AC54DE" w14:paraId="32F53F49" w14:textId="76D04B11">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20E202B0">
        <w:rPr>
          <w:rFonts w:ascii="Arial" w:eastAsia="Times New Roman" w:hAnsi="Arial" w:cs="Arial"/>
          <w:b/>
          <w:bCs/>
          <w:sz w:val="16"/>
          <w:szCs w:val="16"/>
          <w:lang w:val="es-CO" w:eastAsia="es-CO" w:bidi="ar-SA"/>
        </w:rPr>
        <w:t>3.4.</w:t>
      </w:r>
      <w:r w:rsidR="00F24D2F">
        <w:rPr>
          <w:rFonts w:ascii="Arial" w:eastAsia="Times New Roman" w:hAnsi="Arial" w:cs="Arial"/>
          <w:b/>
          <w:bCs/>
          <w:sz w:val="16"/>
          <w:szCs w:val="16"/>
          <w:lang w:val="es-CO" w:eastAsia="es-CO" w:bidi="ar-SA"/>
        </w:rPr>
        <w:t>1.</w:t>
      </w:r>
      <w:r w:rsidRPr="00AC54DE">
        <w:rPr>
          <w:rFonts w:ascii="Arial" w:eastAsia="Times New Roman" w:hAnsi="Arial" w:cs="Arial"/>
          <w:b/>
          <w:sz w:val="16"/>
          <w:szCs w:val="16"/>
          <w:lang w:val="es-CO" w:eastAsia="es-CO" w:bidi="ar-SA"/>
        </w:rPr>
        <w:t xml:space="preserve">3.2. </w:t>
      </w:r>
      <w:r w:rsidRPr="007A0E11" w:rsidR="007A0E11">
        <w:rPr>
          <w:rFonts w:ascii="Arial" w:eastAsia="Times New Roman" w:hAnsi="Arial" w:cs="Arial"/>
          <w:b/>
          <w:sz w:val="16"/>
          <w:szCs w:val="16"/>
          <w:lang w:val="es-CO" w:eastAsia="es-CO" w:bidi="ar-SA"/>
        </w:rPr>
        <w:t>Las políticas y límites prudenciales internos establecidos por la</w:t>
      </w:r>
      <w:r w:rsidR="00115FCD">
        <w:rPr>
          <w:rFonts w:ascii="Arial" w:eastAsia="Times New Roman" w:hAnsi="Arial" w:cs="Arial"/>
          <w:b/>
          <w:sz w:val="16"/>
          <w:szCs w:val="16"/>
          <w:lang w:val="es-CO" w:eastAsia="es-CO" w:bidi="ar-SA"/>
        </w:rPr>
        <w:t xml:space="preserve"> </w:t>
      </w:r>
      <w:r w:rsidRPr="00115FCD" w:rsidR="00115FCD">
        <w:rPr>
          <w:rFonts w:ascii="Arial" w:eastAsia="Times New Roman" w:hAnsi="Arial" w:cs="Arial"/>
          <w:b/>
          <w:sz w:val="16"/>
          <w:szCs w:val="16"/>
          <w:lang w:val="es-CO" w:eastAsia="es-CO" w:bidi="ar-SA"/>
        </w:rPr>
        <w:t>sociedad de capitalización</w:t>
      </w:r>
      <w:r w:rsidRPr="007A0E11" w:rsidR="007A0E11">
        <w:rPr>
          <w:rFonts w:ascii="Arial" w:eastAsia="Times New Roman" w:hAnsi="Arial" w:cs="Arial"/>
          <w:b/>
          <w:sz w:val="16"/>
          <w:szCs w:val="16"/>
          <w:lang w:val="es-CO" w:eastAsia="es-CO" w:bidi="ar-SA"/>
        </w:rPr>
        <w:t xml:space="preserve"> para la exposición al riesgo financiero asociado </w:t>
      </w:r>
      <w:r w:rsidR="002F66A2">
        <w:rPr>
          <w:rFonts w:ascii="Arial" w:eastAsia="Times New Roman" w:hAnsi="Arial" w:cs="Arial"/>
          <w:b/>
          <w:sz w:val="16"/>
          <w:szCs w:val="16"/>
          <w:lang w:val="es-CO" w:eastAsia="es-CO" w:bidi="ar-SA"/>
        </w:rPr>
        <w:t>a</w:t>
      </w:r>
      <w:r w:rsidRPr="007A0E11" w:rsidR="007A0E11">
        <w:rPr>
          <w:rFonts w:ascii="Arial" w:eastAsia="Times New Roman" w:hAnsi="Arial" w:cs="Arial"/>
          <w:b/>
          <w:sz w:val="16"/>
          <w:szCs w:val="16"/>
          <w:lang w:val="es-CO" w:eastAsia="es-CO" w:bidi="ar-SA"/>
        </w:rPr>
        <w:t xml:space="preserve"> este tipo de inversiones</w:t>
      </w:r>
      <w:r w:rsidRPr="00AC54DE">
        <w:rPr>
          <w:rFonts w:ascii="Arial" w:eastAsia="Times New Roman" w:hAnsi="Arial" w:cs="Arial"/>
          <w:b/>
          <w:sz w:val="16"/>
          <w:szCs w:val="16"/>
          <w:lang w:val="es-CO" w:eastAsia="es-CO" w:bidi="ar-SA"/>
        </w:rPr>
        <w:t xml:space="preserve">. </w:t>
      </w:r>
    </w:p>
    <w:p w:rsidR="00AC54DE" w:rsidRPr="00BE7AD2" w:rsidP="00AC54DE" w14:paraId="05899C6E"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P="00AC54DE" w14:paraId="0B42D153" w14:textId="3B11D7ED">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00BE7AD2">
        <w:rPr>
          <w:rFonts w:ascii="Arial" w:eastAsia="Times New Roman" w:hAnsi="Arial" w:cs="Arial"/>
          <w:b/>
          <w:sz w:val="16"/>
          <w:szCs w:val="16"/>
          <w:lang w:val="es-CO" w:eastAsia="es-CO" w:bidi="ar-SA"/>
        </w:rPr>
        <w:t>3.</w:t>
      </w:r>
      <w:r w:rsidRPr="00BE7AD2" w:rsidR="6A784119">
        <w:rPr>
          <w:rFonts w:ascii="Arial" w:eastAsia="Times New Roman" w:hAnsi="Arial" w:cs="Arial"/>
          <w:b/>
          <w:sz w:val="16"/>
          <w:szCs w:val="16"/>
          <w:lang w:val="es-CO" w:eastAsia="es-CO" w:bidi="ar-SA"/>
        </w:rPr>
        <w:t>4.</w:t>
      </w:r>
      <w:r w:rsidR="00F24D2F">
        <w:rPr>
          <w:rFonts w:ascii="Arial" w:eastAsia="Times New Roman" w:hAnsi="Arial" w:cs="Arial"/>
          <w:b/>
          <w:sz w:val="16"/>
          <w:szCs w:val="16"/>
          <w:lang w:val="es-CO" w:eastAsia="es-CO" w:bidi="ar-SA"/>
        </w:rPr>
        <w:t>1.</w:t>
      </w:r>
      <w:r w:rsidRPr="00BE7AD2">
        <w:rPr>
          <w:rFonts w:ascii="Arial" w:eastAsia="Times New Roman" w:hAnsi="Arial" w:cs="Arial"/>
          <w:b/>
          <w:sz w:val="16"/>
          <w:szCs w:val="16"/>
          <w:lang w:val="es-CO" w:eastAsia="es-CO" w:bidi="ar-SA"/>
        </w:rPr>
        <w:t xml:space="preserve">3.3. </w:t>
      </w:r>
      <w:r w:rsidRPr="007A0E11" w:rsidR="007A0E11">
        <w:rPr>
          <w:rFonts w:ascii="Arial" w:eastAsia="Times New Roman" w:hAnsi="Arial" w:cs="Arial"/>
          <w:b/>
          <w:sz w:val="16"/>
          <w:szCs w:val="16"/>
          <w:lang w:val="es-CO" w:eastAsia="es-CO" w:bidi="ar-SA"/>
        </w:rPr>
        <w:t xml:space="preserve">Los procesos adoptados para la medición, monitoreo y reporte de los riesgos financieros y operacional, asociados </w:t>
      </w:r>
      <w:r w:rsidR="00A55008">
        <w:rPr>
          <w:rFonts w:ascii="Arial" w:eastAsia="Times New Roman" w:hAnsi="Arial" w:cs="Arial"/>
          <w:b/>
          <w:sz w:val="16"/>
          <w:szCs w:val="16"/>
          <w:lang w:val="es-CO" w:eastAsia="es-CO" w:bidi="ar-SA"/>
        </w:rPr>
        <w:t xml:space="preserve">a </w:t>
      </w:r>
      <w:r w:rsidRPr="007A0E11" w:rsidR="007A0E11">
        <w:rPr>
          <w:rFonts w:ascii="Arial" w:eastAsia="Times New Roman" w:hAnsi="Arial" w:cs="Arial"/>
          <w:b/>
          <w:sz w:val="16"/>
          <w:szCs w:val="16"/>
          <w:lang w:val="es-CO" w:eastAsia="es-CO" w:bidi="ar-SA"/>
        </w:rPr>
        <w:t>este tipo de inversiones</w:t>
      </w:r>
      <w:r w:rsidRPr="00BE7AD2">
        <w:rPr>
          <w:rFonts w:ascii="Arial" w:eastAsia="Times New Roman" w:hAnsi="Arial" w:cs="Arial"/>
          <w:b/>
          <w:sz w:val="16"/>
          <w:szCs w:val="16"/>
          <w:lang w:val="es-CO" w:eastAsia="es-CO" w:bidi="ar-SA"/>
        </w:rPr>
        <w:t>.</w:t>
      </w:r>
    </w:p>
    <w:p w:rsidR="007A0E11" w:rsidP="00AC54DE" w14:paraId="1D651AD2"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7A0E11" w:rsidRPr="00BE7AD2" w:rsidP="00AC54DE" w14:paraId="4AC2B092"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Pr>
          <w:rFonts w:ascii="Arial" w:eastAsia="Times New Roman" w:hAnsi="Arial" w:cs="Arial"/>
          <w:b/>
          <w:sz w:val="16"/>
          <w:szCs w:val="16"/>
          <w:lang w:val="es-CO" w:eastAsia="es-CO" w:bidi="ar-SA"/>
        </w:rPr>
        <w:t xml:space="preserve">3.4.1.3.4. </w:t>
      </w:r>
      <w:r w:rsidRPr="007A0E11">
        <w:rPr>
          <w:rFonts w:ascii="Arial" w:eastAsia="Times New Roman" w:hAnsi="Arial" w:cs="Arial"/>
          <w:b/>
          <w:sz w:val="16"/>
          <w:szCs w:val="16"/>
          <w:lang w:val="es-CO" w:eastAsia="es-CO" w:bidi="ar-SA"/>
        </w:rPr>
        <w:t>Las políticas para la toma de decisiones de inversión en activos alternativos, incluyendo los procedimientos y áreas responsables de la realización de la debida diligencia de las condiciones de la inversión en activos alternativos.</w:t>
      </w:r>
    </w:p>
    <w:p w:rsidR="00AC54DE" w:rsidRPr="00BE7AD2" w:rsidP="00AC54DE" w14:paraId="29FCB96A"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RPr="00BE7AD2" w:rsidP="00AC54DE" w14:paraId="5F61F252" w14:textId="4CD26750">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00BE7AD2">
        <w:rPr>
          <w:rFonts w:ascii="Arial" w:eastAsia="Times New Roman" w:hAnsi="Arial" w:cs="Arial"/>
          <w:b/>
          <w:sz w:val="16"/>
          <w:szCs w:val="16"/>
          <w:lang w:val="es-CO" w:eastAsia="es-CO" w:bidi="ar-SA"/>
        </w:rPr>
        <w:t>3.</w:t>
      </w:r>
      <w:r w:rsidRPr="00BE7AD2">
        <w:rPr>
          <w:rFonts w:ascii="Arial" w:eastAsia="Times New Roman" w:hAnsi="Arial" w:cs="Arial"/>
          <w:b/>
          <w:sz w:val="16"/>
          <w:szCs w:val="16"/>
          <w:lang w:val="es-CO" w:eastAsia="es-CO" w:bidi="ar-SA"/>
        </w:rPr>
        <w:t>4.</w:t>
      </w:r>
      <w:r w:rsidR="00F24D2F">
        <w:rPr>
          <w:rFonts w:ascii="Arial" w:eastAsia="Times New Roman" w:hAnsi="Arial" w:cs="Arial"/>
          <w:b/>
          <w:sz w:val="16"/>
          <w:szCs w:val="16"/>
          <w:lang w:val="es-CO" w:eastAsia="es-CO" w:bidi="ar-SA"/>
        </w:rPr>
        <w:t>1.</w:t>
      </w:r>
      <w:r w:rsidRPr="00BE7AD2">
        <w:rPr>
          <w:rFonts w:ascii="Arial" w:eastAsia="Times New Roman" w:hAnsi="Arial" w:cs="Arial"/>
          <w:b/>
          <w:sz w:val="16"/>
          <w:szCs w:val="16"/>
          <w:lang w:val="es-CO" w:eastAsia="es-CO" w:bidi="ar-SA"/>
        </w:rPr>
        <w:t xml:space="preserve">4. </w:t>
      </w:r>
      <w:r w:rsidRPr="007A0E11" w:rsidR="007A0E11">
        <w:rPr>
          <w:rFonts w:ascii="Arial" w:eastAsia="Times New Roman" w:hAnsi="Arial" w:cs="Arial"/>
          <w:b/>
          <w:sz w:val="16"/>
          <w:szCs w:val="16"/>
          <w:lang w:val="es-CO" w:eastAsia="es-CO" w:bidi="ar-SA"/>
        </w:rPr>
        <w:t xml:space="preserve">Las políticas y medidas de control interno adoptadas por la </w:t>
      </w:r>
      <w:r w:rsidRPr="009A6FA3" w:rsidR="00115FCD">
        <w:rPr>
          <w:rFonts w:ascii="Arial" w:eastAsia="Times New Roman" w:hAnsi="Arial" w:cs="Arial"/>
          <w:b/>
          <w:sz w:val="16"/>
          <w:szCs w:val="16"/>
          <w:lang w:val="es-CO" w:eastAsia="es-CO" w:bidi="ar-SA"/>
        </w:rPr>
        <w:t>sociedad de</w:t>
      </w:r>
      <w:r w:rsidR="00115FCD">
        <w:rPr>
          <w:rFonts w:ascii="Arial" w:eastAsia="Times New Roman" w:hAnsi="Arial" w:cs="Arial"/>
          <w:b/>
          <w:sz w:val="16"/>
          <w:szCs w:val="16"/>
          <w:lang w:val="es-CO" w:eastAsia="es-CO" w:bidi="ar-SA"/>
        </w:rPr>
        <w:t xml:space="preserve"> </w:t>
      </w:r>
      <w:r w:rsidRPr="00F24D2F" w:rsidR="00115FCD">
        <w:rPr>
          <w:rFonts w:ascii="Arial" w:eastAsia="Times New Roman" w:hAnsi="Arial" w:cs="Arial"/>
          <w:b/>
          <w:sz w:val="16"/>
          <w:szCs w:val="16"/>
          <w:lang w:val="es-CO" w:eastAsia="es-CO" w:bidi="ar-SA"/>
        </w:rPr>
        <w:t>capitalización</w:t>
      </w:r>
      <w:r w:rsidRPr="009A6FA3" w:rsidR="00115FCD">
        <w:rPr>
          <w:rFonts w:ascii="Arial" w:eastAsia="Times New Roman" w:hAnsi="Arial" w:cs="Arial"/>
          <w:b/>
          <w:sz w:val="16"/>
          <w:szCs w:val="16"/>
          <w:lang w:val="es-CO" w:eastAsia="es-CO" w:bidi="ar-SA"/>
        </w:rPr>
        <w:t xml:space="preserve"> </w:t>
      </w:r>
      <w:r w:rsidRPr="007A0E11" w:rsidR="007A0E11">
        <w:rPr>
          <w:rFonts w:ascii="Arial" w:eastAsia="Times New Roman" w:hAnsi="Arial" w:cs="Arial"/>
          <w:b/>
          <w:sz w:val="16"/>
          <w:szCs w:val="16"/>
          <w:lang w:val="es-CO" w:eastAsia="es-CO" w:bidi="ar-SA"/>
        </w:rPr>
        <w:t>para corregir cualquier desviación que ocurra respecto a la máxima exposición a los riesgos financiero y operacional establecida en la política de inversión. Estas políticas deben detallar el procedimiento, requisitos, instancias responsables y planes de desmonte</w:t>
      </w:r>
      <w:r w:rsidR="009415D1">
        <w:rPr>
          <w:rFonts w:ascii="Arial" w:eastAsia="Times New Roman" w:hAnsi="Arial" w:cs="Arial"/>
          <w:b/>
          <w:sz w:val="16"/>
          <w:szCs w:val="16"/>
          <w:lang w:val="es-CO" w:eastAsia="es-CO" w:bidi="ar-SA"/>
        </w:rPr>
        <w:t>,</w:t>
      </w:r>
      <w:r w:rsidRPr="007A0E11" w:rsidR="007A0E11">
        <w:rPr>
          <w:rFonts w:ascii="Arial" w:eastAsia="Times New Roman" w:hAnsi="Arial" w:cs="Arial"/>
          <w:b/>
          <w:sz w:val="16"/>
          <w:szCs w:val="16"/>
          <w:lang w:val="es-CO" w:eastAsia="es-CO" w:bidi="ar-SA"/>
        </w:rPr>
        <w:t xml:space="preserve"> o la modificación de los l</w:t>
      </w:r>
      <w:r w:rsidR="009A494C">
        <w:rPr>
          <w:rFonts w:ascii="Arial" w:eastAsia="Times New Roman" w:hAnsi="Arial" w:cs="Arial"/>
          <w:b/>
          <w:sz w:val="16"/>
          <w:szCs w:val="16"/>
          <w:lang w:val="es-CO" w:eastAsia="es-CO" w:bidi="ar-SA"/>
        </w:rPr>
        <w:t>ímit</w:t>
      </w:r>
      <w:r w:rsidRPr="007A0E11" w:rsidR="007A0E11">
        <w:rPr>
          <w:rFonts w:ascii="Arial" w:eastAsia="Times New Roman" w:hAnsi="Arial" w:cs="Arial"/>
          <w:b/>
          <w:sz w:val="16"/>
          <w:szCs w:val="16"/>
          <w:lang w:val="es-CO" w:eastAsia="es-CO" w:bidi="ar-SA"/>
        </w:rPr>
        <w:t>es internos</w:t>
      </w:r>
      <w:r w:rsidR="009415D1">
        <w:rPr>
          <w:rFonts w:ascii="Arial" w:eastAsia="Times New Roman" w:hAnsi="Arial" w:cs="Arial"/>
          <w:b/>
          <w:sz w:val="16"/>
          <w:szCs w:val="16"/>
          <w:lang w:val="es-CO" w:eastAsia="es-CO" w:bidi="ar-SA"/>
        </w:rPr>
        <w:t>,</w:t>
      </w:r>
      <w:r w:rsidRPr="007A0E11" w:rsidR="007A0E11">
        <w:rPr>
          <w:rFonts w:ascii="Arial" w:eastAsia="Times New Roman" w:hAnsi="Arial" w:cs="Arial"/>
          <w:b/>
          <w:sz w:val="16"/>
          <w:szCs w:val="16"/>
          <w:lang w:val="es-CO" w:eastAsia="es-CO" w:bidi="ar-SA"/>
        </w:rPr>
        <w:t xml:space="preserve"> en los casos en que ocurran desviaciones.</w:t>
      </w:r>
    </w:p>
    <w:p w:rsidR="00BE7AD2" w:rsidP="00BE7AD2" w14:paraId="4B9A1352"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00BE7AD2">
        <w:rPr>
          <w:rFonts w:ascii="Arial" w:eastAsia="Times New Roman" w:hAnsi="Arial" w:cs="Arial"/>
          <w:b/>
          <w:sz w:val="16"/>
          <w:szCs w:val="16"/>
          <w:lang w:val="es-CO" w:eastAsia="es-CO" w:bidi="ar-SA"/>
        </w:rPr>
        <w:t>3.4</w:t>
      </w:r>
      <w:r w:rsidRPr="00BE7AD2" w:rsidR="00AA3B58">
        <w:rPr>
          <w:rFonts w:ascii="Arial" w:eastAsia="Times New Roman" w:hAnsi="Arial" w:cs="Arial"/>
          <w:b/>
          <w:sz w:val="16"/>
          <w:szCs w:val="16"/>
          <w:lang w:val="es-CO" w:eastAsia="es-CO" w:bidi="ar-SA"/>
        </w:rPr>
        <w:t>.</w:t>
      </w:r>
      <w:r w:rsidR="00F24D2F">
        <w:rPr>
          <w:rFonts w:ascii="Arial" w:eastAsia="Times New Roman" w:hAnsi="Arial" w:cs="Arial"/>
          <w:b/>
          <w:sz w:val="16"/>
          <w:szCs w:val="16"/>
          <w:lang w:val="es-CO" w:eastAsia="es-CO" w:bidi="ar-SA"/>
        </w:rPr>
        <w:t>1.</w:t>
      </w:r>
      <w:r w:rsidRPr="00BE7AD2" w:rsidR="00AA3B58">
        <w:rPr>
          <w:rFonts w:ascii="Arial" w:eastAsia="Times New Roman" w:hAnsi="Arial" w:cs="Times New Roman"/>
          <w:b/>
          <w:sz w:val="16"/>
          <w:szCs w:val="16"/>
          <w:lang w:val="es-CO" w:eastAsia="es-CO" w:bidi="ar-SA"/>
        </w:rPr>
        <w:t xml:space="preserve">5. </w:t>
      </w:r>
      <w:r w:rsidRPr="007A0E11" w:rsidR="007A0E11">
        <w:rPr>
          <w:rFonts w:ascii="Arial" w:eastAsia="Times New Roman" w:hAnsi="Arial" w:cs="Arial"/>
          <w:b/>
          <w:sz w:val="16"/>
          <w:szCs w:val="16"/>
          <w:lang w:val="es-CO" w:eastAsia="es-CO" w:bidi="ar-SA"/>
        </w:rPr>
        <w:t>Políticas para seguir en el evento en que se presenten excesos o defectos en los límites de inversión, tanto internos como legales.</w:t>
      </w:r>
    </w:p>
    <w:p w:rsidR="00BE7AD2" w:rsidRPr="00BE7AD2" w:rsidP="00BE7AD2" w14:paraId="70E42154"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BE7AD2" w:rsidRPr="00BE7AD2" w:rsidP="00BE7AD2" w14:paraId="7ADF8CF9" w14:textId="5F554036">
      <w:pPr>
        <w:pStyle w:val="ListParagraph"/>
        <w:pBdr>
          <w:left w:val="single" w:sz="4" w:space="4" w:color="auto"/>
        </w:pBdr>
        <w:ind w:left="0"/>
        <w:contextualSpacing/>
        <w:jc w:val="both"/>
        <w:rPr>
          <w:rFonts w:ascii="Arial" w:eastAsia="Times New Roman" w:hAnsi="Arial" w:cs="Times New Roman"/>
          <w:b/>
          <w:sz w:val="16"/>
          <w:szCs w:val="16"/>
          <w:lang w:val="es-ES" w:eastAsia="es-CO" w:bidi="ar-SA"/>
        </w:rPr>
      </w:pPr>
      <w:r w:rsidRPr="00BE7AD2">
        <w:rPr>
          <w:rFonts w:ascii="Arial" w:eastAsia="Times New Roman" w:hAnsi="Arial" w:cs="Times New Roman"/>
          <w:b/>
          <w:sz w:val="16"/>
          <w:szCs w:val="16"/>
          <w:lang w:val="es-ES" w:eastAsia="es-CO" w:bidi="ar-SA"/>
        </w:rPr>
        <w:t>3.4</w:t>
      </w:r>
      <w:r w:rsidRPr="00BE7AD2" w:rsidR="00E23C8A">
        <w:rPr>
          <w:rFonts w:ascii="Arial" w:eastAsia="Times New Roman" w:hAnsi="Arial" w:cs="Times New Roman"/>
          <w:b/>
          <w:sz w:val="16"/>
          <w:szCs w:val="16"/>
          <w:lang w:val="es-ES" w:eastAsia="es-CO" w:bidi="ar-SA"/>
        </w:rPr>
        <w:t>.</w:t>
      </w:r>
      <w:r w:rsidR="00F24D2F">
        <w:rPr>
          <w:rFonts w:ascii="Arial" w:eastAsia="Times New Roman" w:hAnsi="Arial" w:cs="Times New Roman"/>
          <w:b/>
          <w:sz w:val="16"/>
          <w:szCs w:val="16"/>
          <w:lang w:val="es-ES" w:eastAsia="es-CO" w:bidi="ar-SA"/>
        </w:rPr>
        <w:t>1.</w:t>
      </w:r>
      <w:r w:rsidRPr="00BE7AD2" w:rsidR="00912B51">
        <w:rPr>
          <w:rFonts w:ascii="Arial" w:eastAsia="Times New Roman" w:hAnsi="Arial" w:cs="Times New Roman"/>
          <w:b/>
          <w:sz w:val="16"/>
          <w:szCs w:val="16"/>
          <w:lang w:val="es-ES" w:eastAsia="es-CO" w:bidi="ar-SA"/>
        </w:rPr>
        <w:t>6</w:t>
      </w:r>
      <w:r w:rsidRPr="007A0E11" w:rsidR="007A0E11">
        <w:rPr>
          <w:rFonts w:ascii="Arial" w:eastAsia="Times New Roman" w:hAnsi="Arial" w:cs="Times New Roman"/>
          <w:b/>
          <w:sz w:val="16"/>
          <w:szCs w:val="16"/>
          <w:lang w:val="es-ES" w:eastAsia="es-CO" w:bidi="ar-SA"/>
        </w:rPr>
        <w:t>. Políticas y criterios para la modificación de los límites internos.</w:t>
      </w:r>
    </w:p>
    <w:p w:rsidR="00BE7AD2" w:rsidRPr="00BE7AD2" w:rsidP="00BE7AD2" w14:paraId="6D30173A" w14:textId="77777777">
      <w:pPr>
        <w:pStyle w:val="ListParagraph"/>
        <w:pBdr>
          <w:left w:val="single" w:sz="4" w:space="4" w:color="auto"/>
        </w:pBdr>
        <w:ind w:left="0"/>
        <w:contextualSpacing/>
        <w:jc w:val="both"/>
        <w:rPr>
          <w:rFonts w:ascii="Arial" w:eastAsia="Times New Roman" w:hAnsi="Arial" w:cs="Times New Roman"/>
          <w:b/>
          <w:sz w:val="16"/>
          <w:szCs w:val="16"/>
          <w:lang w:val="es-ES" w:eastAsia="es-CO" w:bidi="ar-SA"/>
        </w:rPr>
      </w:pPr>
    </w:p>
    <w:p w:rsidR="00AC54DE" w:rsidRPr="00AC54DE" w:rsidP="00AC54DE" w14:paraId="68F80620" w14:textId="304F8374">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2538C4BD">
        <w:rPr>
          <w:rFonts w:ascii="Arial" w:eastAsia="Times New Roman" w:hAnsi="Arial" w:cs="Arial"/>
          <w:b/>
          <w:bCs/>
          <w:sz w:val="16"/>
          <w:szCs w:val="16"/>
          <w:lang w:val="es-CO" w:eastAsia="es-CO" w:bidi="ar-SA"/>
        </w:rPr>
        <w:t>3.4</w:t>
      </w:r>
      <w:r w:rsidRPr="00AC54DE">
        <w:rPr>
          <w:rFonts w:ascii="Arial" w:eastAsia="Times New Roman" w:hAnsi="Arial" w:cs="Arial"/>
          <w:b/>
          <w:sz w:val="16"/>
          <w:szCs w:val="16"/>
          <w:lang w:val="es-CO" w:eastAsia="es-CO" w:bidi="ar-SA"/>
        </w:rPr>
        <w:t>.</w:t>
      </w:r>
      <w:r w:rsidR="00F24D2F">
        <w:rPr>
          <w:rFonts w:ascii="Arial" w:eastAsia="Times New Roman" w:hAnsi="Arial" w:cs="Arial"/>
          <w:b/>
          <w:sz w:val="16"/>
          <w:szCs w:val="16"/>
          <w:lang w:val="es-CO" w:eastAsia="es-CO" w:bidi="ar-SA"/>
        </w:rPr>
        <w:t>1.</w:t>
      </w:r>
      <w:r w:rsidRPr="00AC54DE">
        <w:rPr>
          <w:rFonts w:ascii="Arial" w:eastAsia="Times New Roman" w:hAnsi="Arial" w:cs="Arial"/>
          <w:b/>
          <w:sz w:val="16"/>
          <w:szCs w:val="16"/>
          <w:lang w:val="es-CO" w:eastAsia="es-CO" w:bidi="ar-SA"/>
        </w:rPr>
        <w:t xml:space="preserve">7. </w:t>
      </w:r>
      <w:r w:rsidRPr="007A0E11" w:rsidR="007A0E11">
        <w:rPr>
          <w:rFonts w:ascii="Arial" w:eastAsia="Times New Roman" w:hAnsi="Arial" w:cs="Arial"/>
          <w:b/>
          <w:sz w:val="16"/>
          <w:szCs w:val="16"/>
          <w:lang w:val="es-CO" w:eastAsia="es-CO" w:bidi="ar-SA"/>
        </w:rPr>
        <w:t>Políticas de inversiones en entidades vinculadas o que hagan parte del conglomerado financiero, siempre que sean aplicables. Estas políticas deben guardar correspondencia con las políticas generales establecidas por el conglomerado financiero respecto del límite de exposición y de concentración de riesgos, en línea con lo dispuesto en el artículo 2.39.3.2.1 del Decreto 2555 de 2010 u otras disposiciones.</w:t>
      </w:r>
      <w:r w:rsidR="00976578">
        <w:rPr>
          <w:rFonts w:ascii="Arial" w:eastAsia="Times New Roman" w:hAnsi="Arial" w:cs="Arial"/>
          <w:b/>
          <w:sz w:val="16"/>
          <w:szCs w:val="16"/>
          <w:lang w:val="es-CO" w:eastAsia="es-CO" w:bidi="ar-SA"/>
        </w:rPr>
        <w:t xml:space="preserve"> </w:t>
      </w:r>
      <w:r w:rsidRPr="00976578" w:rsidR="00976578">
        <w:rPr>
          <w:rFonts w:ascii="Arial" w:eastAsia="Times New Roman" w:hAnsi="Arial" w:cs="Arial"/>
          <w:b/>
          <w:sz w:val="16"/>
          <w:szCs w:val="16"/>
          <w:lang w:val="es-CO" w:eastAsia="es-CO" w:bidi="ar-SA"/>
        </w:rPr>
        <w:t>Estas políticas deben contemplar las directrices generales impartidas por el holding financiero en materia de conflictos de interés, a que se refiere el artículo 2.39.3.1.4 del Decreto 2555 de 2010 u otras disposiciones.</w:t>
      </w:r>
    </w:p>
    <w:p w:rsidR="00AC54DE" w:rsidRPr="00AC54DE" w:rsidP="00AC54DE" w14:paraId="0E0FF5C9"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207BFD" w:rsidP="00AC54DE" w14:paraId="1554D2AD"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7D596371">
        <w:rPr>
          <w:rFonts w:ascii="Arial" w:eastAsia="Times New Roman" w:hAnsi="Arial" w:cs="Arial"/>
          <w:b/>
          <w:bCs/>
          <w:sz w:val="16"/>
          <w:szCs w:val="16"/>
          <w:lang w:val="es-CO" w:eastAsia="es-CO" w:bidi="ar-SA"/>
        </w:rPr>
        <w:t>3.4</w:t>
      </w:r>
      <w:r w:rsidRPr="00AC54DE" w:rsidR="00AC54DE">
        <w:rPr>
          <w:rFonts w:ascii="Arial" w:eastAsia="Times New Roman" w:hAnsi="Arial" w:cs="Arial"/>
          <w:b/>
          <w:sz w:val="16"/>
          <w:szCs w:val="16"/>
          <w:lang w:val="es-CO" w:eastAsia="es-CO" w:bidi="ar-SA"/>
        </w:rPr>
        <w:t>.</w:t>
      </w:r>
      <w:r w:rsidR="00F24D2F">
        <w:rPr>
          <w:rFonts w:ascii="Arial" w:eastAsia="Times New Roman" w:hAnsi="Arial" w:cs="Arial"/>
          <w:b/>
          <w:sz w:val="16"/>
          <w:szCs w:val="16"/>
          <w:lang w:val="es-CO" w:eastAsia="es-CO" w:bidi="ar-SA"/>
        </w:rPr>
        <w:t>1.</w:t>
      </w:r>
      <w:r w:rsidRPr="00AC54DE" w:rsidR="00AC54DE">
        <w:rPr>
          <w:rFonts w:ascii="Arial" w:eastAsia="Times New Roman" w:hAnsi="Arial" w:cs="Arial"/>
          <w:b/>
          <w:sz w:val="16"/>
          <w:szCs w:val="16"/>
          <w:lang w:val="es-CO" w:eastAsia="es-CO" w:bidi="ar-SA"/>
        </w:rPr>
        <w:t xml:space="preserve">8. </w:t>
      </w:r>
      <w:r w:rsidRPr="007A0E11" w:rsidR="007A0E11">
        <w:rPr>
          <w:rFonts w:ascii="Arial" w:eastAsia="Times New Roman" w:hAnsi="Arial" w:cs="Arial"/>
          <w:b/>
          <w:sz w:val="16"/>
          <w:szCs w:val="16"/>
          <w:lang w:val="es-CO" w:eastAsia="es-CO" w:bidi="ar-SA"/>
        </w:rPr>
        <w:t>Procedimiento para evaluar el desempeño en la gestión de las inversiones, en donde se indique por lo menos:</w:t>
      </w:r>
    </w:p>
    <w:p w:rsidR="007A0E11" w:rsidP="00AC54DE" w14:paraId="7222E23A"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7A0E11" w:rsidRPr="00117B39" w:rsidP="00AC54DE" w14:paraId="3F4DD1CB"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Pr>
          <w:rFonts w:ascii="Arial" w:eastAsia="Times New Roman" w:hAnsi="Arial" w:cs="Arial"/>
          <w:b/>
          <w:sz w:val="16"/>
          <w:szCs w:val="16"/>
          <w:lang w:val="es-CO" w:eastAsia="es-CO" w:bidi="ar-SA"/>
        </w:rPr>
        <w:t>3.4.1.8.1</w:t>
      </w:r>
      <w:r w:rsidRPr="007A0E11">
        <w:rPr>
          <w:rFonts w:ascii="Arial" w:eastAsia="Times New Roman" w:hAnsi="Arial" w:cs="Times New Roman"/>
          <w:sz w:val="24"/>
          <w:lang w:val="es-ES" w:eastAsia="es-CO" w:bidi="ar-SA"/>
        </w:rPr>
        <w:t xml:space="preserve"> </w:t>
      </w:r>
      <w:r w:rsidRPr="007A0E11">
        <w:rPr>
          <w:rFonts w:ascii="Arial" w:eastAsia="Times New Roman" w:hAnsi="Arial" w:cs="Arial"/>
          <w:b/>
          <w:sz w:val="16"/>
          <w:szCs w:val="16"/>
          <w:lang w:val="es-CO" w:eastAsia="es-CO" w:bidi="ar-SA"/>
        </w:rPr>
        <w:t>Descripción de los indicadores a utilizar.</w:t>
      </w:r>
    </w:p>
    <w:p w:rsidR="007A0E11" w:rsidRPr="00117B39" w:rsidP="007A0E11" w14:paraId="27762300"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Pr>
          <w:rFonts w:ascii="Arial" w:eastAsia="Times New Roman" w:hAnsi="Arial" w:cs="Arial"/>
          <w:b/>
          <w:sz w:val="16"/>
          <w:szCs w:val="16"/>
          <w:lang w:val="es-CO" w:eastAsia="es-CO" w:bidi="ar-SA"/>
        </w:rPr>
        <w:t>3.4.1.8.2</w:t>
      </w:r>
      <w:r w:rsidRPr="007A0E11">
        <w:rPr>
          <w:rFonts w:ascii="Arial" w:eastAsia="Times New Roman" w:hAnsi="Arial" w:cs="Arial"/>
          <w:b/>
          <w:sz w:val="16"/>
          <w:szCs w:val="16"/>
          <w:lang w:val="es-CO" w:eastAsia="es-CO" w:bidi="ar-SA"/>
        </w:rPr>
        <w:t xml:space="preserve"> Periodicidad de evaluación.</w:t>
      </w:r>
    </w:p>
    <w:p w:rsidR="007A0E11" w:rsidRPr="00117B39" w:rsidP="007A0E11" w14:paraId="7A299110"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Pr>
          <w:rFonts w:ascii="Arial" w:eastAsia="Times New Roman" w:hAnsi="Arial" w:cs="Arial"/>
          <w:b/>
          <w:sz w:val="16"/>
          <w:szCs w:val="16"/>
          <w:lang w:val="es-CO" w:eastAsia="es-CO" w:bidi="ar-SA"/>
        </w:rPr>
        <w:t xml:space="preserve">3.4.1.8.3 </w:t>
      </w:r>
      <w:r w:rsidRPr="007A0E11">
        <w:rPr>
          <w:rFonts w:ascii="Arial" w:eastAsia="Times New Roman" w:hAnsi="Arial" w:cs="Arial"/>
          <w:b/>
          <w:sz w:val="16"/>
          <w:szCs w:val="16"/>
          <w:lang w:val="es-CO" w:eastAsia="es-CO" w:bidi="ar-SA"/>
        </w:rPr>
        <w:t>Órganos o áreas encargadas de hacer seguimiento a dicha evaluación.</w:t>
      </w:r>
    </w:p>
    <w:p w:rsidR="007A0E11" w:rsidRPr="00117B39" w:rsidP="007A0E11" w14:paraId="27AEF964"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Pr>
          <w:rFonts w:ascii="Arial" w:eastAsia="Times New Roman" w:hAnsi="Arial" w:cs="Arial"/>
          <w:b/>
          <w:sz w:val="16"/>
          <w:szCs w:val="16"/>
          <w:lang w:val="es-CO" w:eastAsia="es-CO" w:bidi="ar-SA"/>
        </w:rPr>
        <w:t xml:space="preserve">3.4.1.8.4 </w:t>
      </w:r>
      <w:r w:rsidRPr="007A0E11">
        <w:rPr>
          <w:rFonts w:ascii="Arial" w:eastAsia="Times New Roman" w:hAnsi="Arial" w:cs="Arial"/>
          <w:b/>
          <w:sz w:val="16"/>
          <w:szCs w:val="16"/>
          <w:lang w:val="es-CO" w:eastAsia="es-CO" w:bidi="ar-SA"/>
        </w:rPr>
        <w:t>Órganos o áreas receptores de las evaluaciones.</w:t>
      </w:r>
    </w:p>
    <w:p w:rsidR="00207BFD" w:rsidP="00AC54DE" w14:paraId="7EA23E6D" w14:textId="77777777">
      <w:pPr>
        <w:pStyle w:val="ListParagraph"/>
        <w:pBdr>
          <w:left w:val="single" w:sz="4" w:space="4" w:color="auto"/>
        </w:pBdr>
        <w:ind w:left="0"/>
        <w:contextualSpacing/>
        <w:jc w:val="both"/>
        <w:rPr>
          <w:rFonts w:ascii="Arial" w:eastAsia="Times New Roman" w:hAnsi="Arial" w:cs="Arial"/>
          <w:b/>
          <w:sz w:val="16"/>
          <w:szCs w:val="16"/>
          <w:lang w:val="es-CO" w:eastAsia="es-CO" w:bidi="ar-SA"/>
        </w:rPr>
      </w:pPr>
    </w:p>
    <w:p w:rsidR="00AC54DE" w:rsidRPr="00AC54DE" w:rsidP="007A0E11" w14:paraId="3141D848" w14:textId="1E2F0F2C">
      <w:pPr>
        <w:pStyle w:val="ListParagraph"/>
        <w:pBdr>
          <w:left w:val="single" w:sz="4" w:space="4" w:color="auto"/>
        </w:pBdr>
        <w:ind w:left="0"/>
        <w:contextualSpacing/>
        <w:jc w:val="both"/>
        <w:rPr>
          <w:rFonts w:ascii="Arial" w:eastAsia="Times New Roman" w:hAnsi="Arial" w:cs="Arial"/>
          <w:b/>
          <w:sz w:val="16"/>
          <w:szCs w:val="16"/>
          <w:lang w:val="es-CO" w:eastAsia="es-CO" w:bidi="ar-SA"/>
        </w:rPr>
      </w:pPr>
      <w:r w:rsidRPr="00117B39">
        <w:rPr>
          <w:rFonts w:ascii="Arial" w:eastAsia="Times New Roman" w:hAnsi="Arial" w:cs="Arial"/>
          <w:b/>
          <w:sz w:val="16"/>
          <w:szCs w:val="16"/>
          <w:lang w:val="es-CO" w:eastAsia="es-CO" w:bidi="ar-SA"/>
        </w:rPr>
        <w:t>3.4</w:t>
      </w:r>
      <w:r w:rsidRPr="00117B39" w:rsidR="00207BFD">
        <w:rPr>
          <w:rFonts w:ascii="Arial" w:eastAsia="Times New Roman" w:hAnsi="Arial" w:cs="Arial"/>
          <w:b/>
          <w:sz w:val="16"/>
          <w:szCs w:val="16"/>
          <w:lang w:val="es-CO" w:eastAsia="es-CO" w:bidi="ar-SA"/>
        </w:rPr>
        <w:t>.</w:t>
      </w:r>
      <w:r w:rsidR="00F24D2F">
        <w:rPr>
          <w:rFonts w:ascii="Arial" w:eastAsia="Times New Roman" w:hAnsi="Arial" w:cs="Arial"/>
          <w:b/>
          <w:sz w:val="16"/>
          <w:szCs w:val="16"/>
          <w:lang w:val="es-CO" w:eastAsia="es-CO" w:bidi="ar-SA"/>
        </w:rPr>
        <w:t>1.</w:t>
      </w:r>
      <w:r w:rsidRPr="00117B39" w:rsidR="00207BFD">
        <w:rPr>
          <w:rFonts w:ascii="Arial" w:eastAsia="Times New Roman" w:hAnsi="Arial" w:cs="Arial"/>
          <w:b/>
          <w:sz w:val="16"/>
          <w:szCs w:val="16"/>
          <w:lang w:val="es-CO" w:eastAsia="es-CO" w:bidi="ar-SA"/>
        </w:rPr>
        <w:t xml:space="preserve">9. </w:t>
      </w:r>
      <w:r w:rsidRPr="007A0E11" w:rsidR="007A0E11">
        <w:rPr>
          <w:rFonts w:ascii="Arial" w:eastAsia="Times New Roman" w:hAnsi="Arial" w:cs="Arial"/>
          <w:b/>
          <w:sz w:val="16"/>
          <w:szCs w:val="16"/>
          <w:lang w:val="es-CO" w:eastAsia="es-CO" w:bidi="ar-SA"/>
        </w:rPr>
        <w:t>Condiciones profesionales exigidas al personal interno o externo relacionad</w:t>
      </w:r>
      <w:r w:rsidR="009F3196">
        <w:rPr>
          <w:rFonts w:ascii="Arial" w:eastAsia="Times New Roman" w:hAnsi="Arial" w:cs="Arial"/>
          <w:b/>
          <w:sz w:val="16"/>
          <w:szCs w:val="16"/>
          <w:lang w:val="es-CO" w:eastAsia="es-CO" w:bidi="ar-SA"/>
        </w:rPr>
        <w:t>o</w:t>
      </w:r>
      <w:r w:rsidRPr="007A0E11" w:rsidR="007A0E11">
        <w:rPr>
          <w:rFonts w:ascii="Arial" w:eastAsia="Times New Roman" w:hAnsi="Arial" w:cs="Arial"/>
          <w:b/>
          <w:sz w:val="16"/>
          <w:szCs w:val="16"/>
          <w:lang w:val="es-CO" w:eastAsia="es-CO" w:bidi="ar-SA"/>
        </w:rPr>
        <w:t xml:space="preserve"> con el área de inversiones.</w:t>
      </w:r>
    </w:p>
    <w:p w:rsidR="00AC54DE" w:rsidRPr="00115FCD" w:rsidP="00AC54DE" w14:paraId="4612FF39"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61D608F8" w14:textId="2A0F3DEB">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46C20CE1">
        <w:rPr>
          <w:rFonts w:ascii="Arial" w:eastAsia="Times New Roman" w:hAnsi="Arial" w:cs="Arial"/>
          <w:b/>
          <w:bCs/>
          <w:sz w:val="16"/>
          <w:szCs w:val="16"/>
          <w:lang w:val="es-CO" w:eastAsia="es-CO" w:bidi="ar-SA"/>
        </w:rPr>
        <w:t>3.</w:t>
      </w:r>
      <w:r w:rsidRPr="492340F2">
        <w:rPr>
          <w:rFonts w:ascii="Arial" w:eastAsia="Times New Roman" w:hAnsi="Arial" w:cs="Arial"/>
          <w:b/>
          <w:bCs/>
          <w:sz w:val="16"/>
          <w:szCs w:val="16"/>
          <w:lang w:val="es-CO" w:eastAsia="es-CO" w:bidi="ar-SA"/>
        </w:rPr>
        <w:t>4.</w:t>
      </w:r>
      <w:r w:rsidR="00F24D2F">
        <w:rPr>
          <w:rFonts w:ascii="Arial" w:eastAsia="Times New Roman" w:hAnsi="Arial" w:cs="Arial"/>
          <w:b/>
          <w:bCs/>
          <w:sz w:val="16"/>
          <w:szCs w:val="16"/>
          <w:lang w:val="es-CO" w:eastAsia="es-CO" w:bidi="ar-SA"/>
        </w:rPr>
        <w:t>1.</w:t>
      </w:r>
      <w:r w:rsidRPr="275F1A74">
        <w:rPr>
          <w:rFonts w:ascii="Arial" w:eastAsia="Times New Roman" w:hAnsi="Arial" w:cs="Arial"/>
          <w:b/>
          <w:bCs/>
          <w:sz w:val="16"/>
          <w:szCs w:val="16"/>
          <w:lang w:val="es-CO" w:eastAsia="es-CO" w:bidi="ar-SA"/>
        </w:rPr>
        <w:t>1</w:t>
      </w:r>
      <w:r w:rsidR="009E62B6">
        <w:rPr>
          <w:rFonts w:ascii="Arial" w:eastAsia="Times New Roman" w:hAnsi="Arial" w:cs="Arial"/>
          <w:b/>
          <w:bCs/>
          <w:sz w:val="16"/>
          <w:szCs w:val="16"/>
          <w:lang w:val="es-CO" w:eastAsia="es-CO" w:bidi="ar-SA"/>
        </w:rPr>
        <w:t>0</w:t>
      </w:r>
      <w:r w:rsidRPr="275F1A74">
        <w:rPr>
          <w:rFonts w:ascii="Arial" w:eastAsia="Times New Roman" w:hAnsi="Arial" w:cs="Arial"/>
          <w:b/>
          <w:bCs/>
          <w:sz w:val="16"/>
          <w:szCs w:val="16"/>
          <w:lang w:val="es-CO" w:eastAsia="es-CO" w:bidi="ar-SA"/>
        </w:rPr>
        <w:t>.</w:t>
      </w:r>
      <w:r w:rsidRPr="00115FCD">
        <w:rPr>
          <w:rFonts w:ascii="Arial" w:eastAsia="Times New Roman" w:hAnsi="Arial" w:cs="Arial"/>
          <w:b/>
          <w:bCs/>
          <w:sz w:val="16"/>
          <w:szCs w:val="16"/>
          <w:lang w:val="es-CO" w:eastAsia="es-CO" w:bidi="ar-SA"/>
        </w:rPr>
        <w:t xml:space="preserve"> </w:t>
      </w:r>
      <w:r w:rsidRPr="00115FCD" w:rsidR="007A0E11">
        <w:rPr>
          <w:rFonts w:ascii="Arial" w:eastAsia="Times New Roman" w:hAnsi="Arial" w:cs="Arial"/>
          <w:b/>
          <w:bCs/>
          <w:sz w:val="16"/>
          <w:szCs w:val="16"/>
          <w:lang w:val="es-CO" w:eastAsia="es-CO" w:bidi="ar-SA"/>
        </w:rPr>
        <w:t xml:space="preserve">Descripción general de los riesgos a los que se encuentra expuesto el portafolio de inversiones, la cual deben incorporar como mínimo los efectos de los riesgos de liquidez, mercado y crédito en un análisis integral del portafolio. Las </w:t>
      </w:r>
      <w:r w:rsidRPr="00115FCD" w:rsidR="00115FCD">
        <w:rPr>
          <w:rFonts w:ascii="Arial" w:eastAsia="Times New Roman" w:hAnsi="Arial" w:cs="Arial"/>
          <w:b/>
          <w:bCs/>
          <w:sz w:val="16"/>
          <w:szCs w:val="16"/>
          <w:lang w:val="es-CO" w:eastAsia="es-CO" w:bidi="ar-SA"/>
        </w:rPr>
        <w:t>sociedades de capitalización</w:t>
      </w:r>
      <w:r w:rsidRPr="00115FCD" w:rsidR="007A0E11">
        <w:rPr>
          <w:rFonts w:ascii="Arial" w:eastAsia="Times New Roman" w:hAnsi="Arial" w:cs="Arial"/>
          <w:b/>
          <w:bCs/>
          <w:sz w:val="16"/>
          <w:szCs w:val="16"/>
          <w:lang w:val="es-CO" w:eastAsia="es-CO" w:bidi="ar-SA"/>
        </w:rPr>
        <w:t xml:space="preserve"> deben mencionar en su política de inversión si inclu</w:t>
      </w:r>
      <w:r w:rsidR="00302019">
        <w:rPr>
          <w:rFonts w:ascii="Arial" w:eastAsia="Times New Roman" w:hAnsi="Arial" w:cs="Arial"/>
          <w:b/>
          <w:bCs/>
          <w:sz w:val="16"/>
          <w:szCs w:val="16"/>
          <w:lang w:val="es-CO" w:eastAsia="es-CO" w:bidi="ar-SA"/>
        </w:rPr>
        <w:t>yen</w:t>
      </w:r>
      <w:r w:rsidRPr="00115FCD" w:rsidR="007A0E11">
        <w:rPr>
          <w:rFonts w:ascii="Arial" w:eastAsia="Times New Roman" w:hAnsi="Arial" w:cs="Arial"/>
          <w:b/>
          <w:bCs/>
          <w:sz w:val="16"/>
          <w:szCs w:val="16"/>
          <w:lang w:val="es-CO" w:eastAsia="es-CO" w:bidi="ar-SA"/>
        </w:rPr>
        <w:t xml:space="preserve"> la evaluación de los </w:t>
      </w:r>
      <w:r w:rsidR="00976578">
        <w:rPr>
          <w:rFonts w:ascii="Arial" w:eastAsia="Times New Roman" w:hAnsi="Arial" w:cs="Arial"/>
          <w:b/>
          <w:bCs/>
          <w:sz w:val="16"/>
          <w:szCs w:val="16"/>
          <w:lang w:val="es-CO" w:eastAsia="es-CO" w:bidi="ar-SA"/>
        </w:rPr>
        <w:t>riesgos</w:t>
      </w:r>
      <w:r w:rsidRPr="00115FCD" w:rsidR="007A0E11">
        <w:rPr>
          <w:rFonts w:ascii="Arial" w:eastAsia="Times New Roman" w:hAnsi="Arial" w:cs="Arial"/>
          <w:b/>
          <w:bCs/>
          <w:sz w:val="16"/>
          <w:szCs w:val="16"/>
          <w:lang w:val="es-CO" w:eastAsia="es-CO" w:bidi="ar-SA"/>
        </w:rPr>
        <w:t xml:space="preserve"> ambientales, sociales y de gobierno corporativo (ASG) y climático, o los motivos por los cuales </w:t>
      </w:r>
      <w:r w:rsidR="00B31829">
        <w:rPr>
          <w:rFonts w:ascii="Arial" w:eastAsia="Times New Roman" w:hAnsi="Arial" w:cs="Arial"/>
          <w:b/>
          <w:bCs/>
          <w:sz w:val="16"/>
          <w:szCs w:val="16"/>
          <w:lang w:val="es-CO" w:eastAsia="es-CO" w:bidi="ar-SA"/>
        </w:rPr>
        <w:t>no</w:t>
      </w:r>
      <w:r w:rsidR="00302019">
        <w:rPr>
          <w:rFonts w:ascii="Arial" w:eastAsia="Times New Roman" w:hAnsi="Arial" w:cs="Arial"/>
          <w:b/>
          <w:bCs/>
          <w:sz w:val="16"/>
          <w:szCs w:val="16"/>
          <w:lang w:val="es-CO" w:eastAsia="es-CO" w:bidi="ar-SA"/>
        </w:rPr>
        <w:t xml:space="preserve"> se incluyen.</w:t>
      </w:r>
    </w:p>
    <w:p w:rsidR="00935EB0" w:rsidRPr="00115FCD" w:rsidP="00AC54DE" w14:paraId="6B22F512"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7A0E11" w:rsidRPr="00115FCD" w:rsidP="00115FCD" w14:paraId="3720B1B8" w14:textId="132A6C5F">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935EB0" w:rsidR="345BB77B">
        <w:rPr>
          <w:rFonts w:ascii="Arial" w:eastAsia="Times New Roman" w:hAnsi="Arial" w:cs="Arial"/>
          <w:b/>
          <w:bCs/>
          <w:sz w:val="16"/>
          <w:szCs w:val="16"/>
          <w:lang w:val="es-CO" w:eastAsia="es-CO" w:bidi="ar-SA"/>
        </w:rPr>
        <w:t>4.</w:t>
      </w:r>
      <w:r w:rsidRPr="00935EB0" w:rsidR="00F24D2F">
        <w:rPr>
          <w:rFonts w:ascii="Arial" w:eastAsia="Times New Roman" w:hAnsi="Arial" w:cs="Arial"/>
          <w:b/>
          <w:bCs/>
          <w:sz w:val="16"/>
          <w:szCs w:val="16"/>
          <w:lang w:val="es-CO" w:eastAsia="es-CO" w:bidi="ar-SA"/>
        </w:rPr>
        <w:t>1.</w:t>
      </w:r>
      <w:r w:rsidRPr="00935EB0" w:rsidR="345BB77B">
        <w:rPr>
          <w:rFonts w:ascii="Arial" w:eastAsia="Times New Roman" w:hAnsi="Arial" w:cs="Arial"/>
          <w:b/>
          <w:bCs/>
          <w:sz w:val="16"/>
          <w:szCs w:val="16"/>
          <w:lang w:val="es-CO" w:eastAsia="es-CO" w:bidi="ar-SA"/>
        </w:rPr>
        <w:t>1</w:t>
      </w:r>
      <w:r w:rsidR="009E62B6">
        <w:rPr>
          <w:rFonts w:ascii="Arial" w:eastAsia="Times New Roman" w:hAnsi="Arial" w:cs="Arial"/>
          <w:b/>
          <w:bCs/>
          <w:sz w:val="16"/>
          <w:szCs w:val="16"/>
          <w:lang w:val="es-CO" w:eastAsia="es-CO" w:bidi="ar-SA"/>
        </w:rPr>
        <w:t>1</w:t>
      </w:r>
      <w:r w:rsidRPr="00935EB0">
        <w:rPr>
          <w:rFonts w:ascii="Arial" w:eastAsia="Times New Roman" w:hAnsi="Arial" w:cs="Arial"/>
          <w:b/>
          <w:bCs/>
          <w:sz w:val="16"/>
          <w:szCs w:val="16"/>
          <w:lang w:val="es-CO" w:eastAsia="es-CO" w:bidi="ar-SA"/>
        </w:rPr>
        <w:t>.</w:t>
      </w:r>
      <w:r w:rsidRPr="00115FCD">
        <w:rPr>
          <w:rFonts w:ascii="Arial" w:eastAsia="Times New Roman" w:hAnsi="Arial" w:cs="Arial"/>
          <w:b/>
          <w:bCs/>
          <w:sz w:val="16"/>
          <w:szCs w:val="16"/>
          <w:lang w:val="es-CO" w:eastAsia="es-CO" w:bidi="ar-SA"/>
        </w:rPr>
        <w:t xml:space="preserve"> </w:t>
      </w:r>
      <w:r w:rsidRPr="00115FCD">
        <w:rPr>
          <w:rFonts w:ascii="Arial" w:eastAsia="Times New Roman" w:hAnsi="Arial" w:cs="Arial"/>
          <w:b/>
          <w:bCs/>
          <w:sz w:val="16"/>
          <w:szCs w:val="16"/>
          <w:lang w:val="es-CO" w:eastAsia="es-CO" w:bidi="ar-SA"/>
        </w:rPr>
        <w:t xml:space="preserve">Políticas </w:t>
      </w:r>
      <w:r w:rsidR="00302019">
        <w:rPr>
          <w:rFonts w:ascii="Arial" w:eastAsia="Times New Roman" w:hAnsi="Arial" w:cs="Arial"/>
          <w:b/>
          <w:bCs/>
          <w:sz w:val="16"/>
          <w:szCs w:val="16"/>
          <w:lang w:val="es-CO" w:eastAsia="es-CO" w:bidi="ar-SA"/>
        </w:rPr>
        <w:t>para</w:t>
      </w:r>
      <w:r w:rsidRPr="00115FCD">
        <w:rPr>
          <w:rFonts w:ascii="Arial" w:eastAsia="Times New Roman" w:hAnsi="Arial" w:cs="Arial"/>
          <w:b/>
          <w:bCs/>
          <w:sz w:val="16"/>
          <w:szCs w:val="16"/>
          <w:lang w:val="es-CO" w:eastAsia="es-CO" w:bidi="ar-SA"/>
        </w:rPr>
        <w:t xml:space="preserve"> la administración o gestión de riesgos a los que se encuentra expuesto el portafolio de inversiones, las cuales deben incorporar como mínimo los efectos de los riesgos de liquidez, mercado y crédito en un análisis integral del portafolio. Las </w:t>
      </w:r>
      <w:r w:rsidRPr="00115FCD" w:rsidR="00115FCD">
        <w:rPr>
          <w:rFonts w:ascii="Arial" w:eastAsia="Times New Roman" w:hAnsi="Arial" w:cs="Arial"/>
          <w:b/>
          <w:bCs/>
          <w:sz w:val="16"/>
          <w:szCs w:val="16"/>
          <w:lang w:val="es-CO" w:eastAsia="es-CO" w:bidi="ar-SA"/>
        </w:rPr>
        <w:t>sociedades de capitalización</w:t>
      </w:r>
      <w:r w:rsidRPr="00115FCD">
        <w:rPr>
          <w:rFonts w:ascii="Arial" w:eastAsia="Times New Roman" w:hAnsi="Arial" w:cs="Arial"/>
          <w:b/>
          <w:bCs/>
          <w:sz w:val="16"/>
          <w:szCs w:val="16"/>
          <w:lang w:val="es-CO" w:eastAsia="es-CO" w:bidi="ar-SA"/>
        </w:rPr>
        <w:t xml:space="preserve"> deben mencionar en su política de inversión si inclu</w:t>
      </w:r>
      <w:r w:rsidR="00A75BB6">
        <w:rPr>
          <w:rFonts w:ascii="Arial" w:eastAsia="Times New Roman" w:hAnsi="Arial" w:cs="Arial"/>
          <w:b/>
          <w:bCs/>
          <w:sz w:val="16"/>
          <w:szCs w:val="16"/>
          <w:lang w:val="es-CO" w:eastAsia="es-CO" w:bidi="ar-SA"/>
        </w:rPr>
        <w:t>yen</w:t>
      </w:r>
      <w:r w:rsidRPr="00115FCD">
        <w:rPr>
          <w:rFonts w:ascii="Arial" w:eastAsia="Times New Roman" w:hAnsi="Arial" w:cs="Arial"/>
          <w:b/>
          <w:bCs/>
          <w:sz w:val="16"/>
          <w:szCs w:val="16"/>
          <w:lang w:val="es-CO" w:eastAsia="es-CO" w:bidi="ar-SA"/>
        </w:rPr>
        <w:t xml:space="preserve"> la evaluación de los riesgos ASG y climático, o los motivos por los cuales </w:t>
      </w:r>
      <w:r w:rsidR="00A75BB6">
        <w:rPr>
          <w:rFonts w:ascii="Arial" w:eastAsia="Times New Roman" w:hAnsi="Arial" w:cs="Arial"/>
          <w:b/>
          <w:bCs/>
          <w:sz w:val="16"/>
          <w:szCs w:val="16"/>
          <w:lang w:val="es-CO" w:eastAsia="es-CO" w:bidi="ar-SA"/>
        </w:rPr>
        <w:t>no se incluyen.</w:t>
      </w:r>
    </w:p>
    <w:p w:rsidR="007A0E11" w:rsidRPr="00115FCD" w:rsidP="00115FCD" w14:paraId="7C4EB52F"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7A0E11" w:rsidP="00115FCD" w14:paraId="7289C801"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935EB0">
        <w:rPr>
          <w:rFonts w:ascii="Arial" w:eastAsia="Times New Roman" w:hAnsi="Arial" w:cs="Arial"/>
          <w:b/>
          <w:bCs/>
          <w:sz w:val="16"/>
          <w:szCs w:val="16"/>
          <w:lang w:val="es-CO" w:eastAsia="es-CO" w:bidi="ar-SA"/>
        </w:rPr>
        <w:t>4.1.1</w:t>
      </w:r>
      <w:r>
        <w:rPr>
          <w:rFonts w:ascii="Arial" w:eastAsia="Times New Roman" w:hAnsi="Arial" w:cs="Arial"/>
          <w:b/>
          <w:bCs/>
          <w:sz w:val="16"/>
          <w:szCs w:val="16"/>
          <w:lang w:val="es-CO" w:eastAsia="es-CO" w:bidi="ar-SA"/>
        </w:rPr>
        <w:t>2</w:t>
      </w:r>
      <w:r w:rsidRPr="00935EB0">
        <w:rPr>
          <w:rFonts w:ascii="Arial" w:eastAsia="Times New Roman" w:hAnsi="Arial" w:cs="Arial"/>
          <w:b/>
          <w:bCs/>
          <w:sz w:val="16"/>
          <w:szCs w:val="16"/>
          <w:lang w:val="es-CO" w:eastAsia="es-CO" w:bidi="ar-SA"/>
        </w:rPr>
        <w:t>.</w:t>
      </w:r>
      <w:r w:rsidRPr="00115FCD">
        <w:rPr>
          <w:rFonts w:ascii="Arial" w:eastAsia="Times New Roman" w:hAnsi="Arial" w:cs="Arial"/>
          <w:b/>
          <w:bCs/>
          <w:sz w:val="16"/>
          <w:szCs w:val="16"/>
          <w:lang w:val="es-CO" w:eastAsia="es-CO" w:bidi="ar-SA"/>
        </w:rPr>
        <w:t xml:space="preserve"> </w:t>
      </w:r>
      <w:r w:rsidRPr="007A0E11">
        <w:rPr>
          <w:rFonts w:ascii="Arial" w:eastAsia="Times New Roman" w:hAnsi="Arial" w:cs="Arial"/>
          <w:b/>
          <w:bCs/>
          <w:sz w:val="16"/>
          <w:szCs w:val="16"/>
          <w:lang w:val="es-CO" w:eastAsia="es-CO" w:bidi="ar-SA"/>
        </w:rPr>
        <w:t>Los mecanismos de identificación, medición, control y monitoreo de los riesgos.</w:t>
      </w:r>
    </w:p>
    <w:p w:rsidR="007A0E11" w:rsidRPr="00115FCD" w:rsidP="00115FCD" w14:paraId="2ACAB8FD"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7A0E11" w:rsidP="00115FCD" w14:paraId="3E2787AB"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935EB0">
        <w:rPr>
          <w:rFonts w:ascii="Arial" w:eastAsia="Times New Roman" w:hAnsi="Arial" w:cs="Arial"/>
          <w:b/>
          <w:bCs/>
          <w:sz w:val="16"/>
          <w:szCs w:val="16"/>
          <w:lang w:val="es-CO" w:eastAsia="es-CO" w:bidi="ar-SA"/>
        </w:rPr>
        <w:t>4.1.1</w:t>
      </w:r>
      <w:r>
        <w:rPr>
          <w:rFonts w:ascii="Arial" w:eastAsia="Times New Roman" w:hAnsi="Arial" w:cs="Arial"/>
          <w:b/>
          <w:bCs/>
          <w:sz w:val="16"/>
          <w:szCs w:val="16"/>
          <w:lang w:val="es-CO" w:eastAsia="es-CO" w:bidi="ar-SA"/>
        </w:rPr>
        <w:t>3</w:t>
      </w:r>
      <w:r w:rsidRPr="00935EB0">
        <w:rPr>
          <w:rFonts w:ascii="Arial" w:eastAsia="Times New Roman" w:hAnsi="Arial" w:cs="Arial"/>
          <w:b/>
          <w:bCs/>
          <w:sz w:val="16"/>
          <w:szCs w:val="16"/>
          <w:lang w:val="es-CO" w:eastAsia="es-CO" w:bidi="ar-SA"/>
        </w:rPr>
        <w:t>.</w:t>
      </w:r>
      <w:r>
        <w:rPr>
          <w:rFonts w:ascii="Arial" w:eastAsia="Times New Roman" w:hAnsi="Arial" w:cs="Arial"/>
          <w:b/>
          <w:bCs/>
          <w:sz w:val="16"/>
          <w:szCs w:val="16"/>
          <w:lang w:val="es-CO" w:eastAsia="es-CO" w:bidi="ar-SA"/>
        </w:rPr>
        <w:t xml:space="preserve"> </w:t>
      </w:r>
      <w:r w:rsidRPr="007A0E11">
        <w:rPr>
          <w:rFonts w:ascii="Arial" w:eastAsia="Times New Roman" w:hAnsi="Arial" w:cs="Arial"/>
          <w:b/>
          <w:bCs/>
          <w:sz w:val="16"/>
          <w:szCs w:val="16"/>
          <w:lang w:val="es-CO" w:eastAsia="es-CO" w:bidi="ar-SA"/>
        </w:rPr>
        <w:t>El proceso de identificación y gestión de los potenciales conflictos de interés en el proceso de inversiones.</w:t>
      </w:r>
    </w:p>
    <w:p w:rsidR="007A0E11" w:rsidRPr="00115FCD" w:rsidP="00115FCD" w14:paraId="0D8C8916"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2FF8D787" w14:paraId="43155204"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 xml:space="preserve">. </w:t>
      </w:r>
      <w:r w:rsidRPr="00115FCD" w:rsidR="3448E691">
        <w:rPr>
          <w:rFonts w:ascii="Arial" w:eastAsia="Times New Roman" w:hAnsi="Arial" w:cs="Arial"/>
          <w:b/>
          <w:bCs/>
          <w:sz w:val="16"/>
          <w:szCs w:val="16"/>
          <w:lang w:val="es-CO" w:eastAsia="es-CO" w:bidi="ar-SA"/>
        </w:rPr>
        <w:t>Gobernanza de las inversiones</w:t>
      </w:r>
    </w:p>
    <w:p w:rsidR="00AC54DE" w:rsidRPr="00115FCD" w:rsidP="2FF8D787" w14:paraId="23F83EF1"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3448E691" w:rsidRPr="00115FCD" w:rsidP="00115FCD" w14:paraId="05937514" w14:textId="6C1E070B">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La política de inversión debe señalar la estructura organizacional encargada de la gestión de inversiones y administración de sus riesgos</w:t>
      </w:r>
      <w:r w:rsidR="00A75BB6">
        <w:rPr>
          <w:rFonts w:ascii="Arial" w:eastAsia="Times New Roman" w:hAnsi="Arial" w:cs="Arial"/>
          <w:b/>
          <w:bCs/>
          <w:sz w:val="16"/>
          <w:szCs w:val="16"/>
          <w:lang w:val="es-CO" w:eastAsia="es-CO" w:bidi="ar-SA"/>
        </w:rPr>
        <w:t xml:space="preserve">, esto es las </w:t>
      </w:r>
      <w:r w:rsidRPr="00115FCD">
        <w:rPr>
          <w:rFonts w:ascii="Arial" w:eastAsia="Times New Roman" w:hAnsi="Arial" w:cs="Arial"/>
          <w:b/>
          <w:bCs/>
          <w:sz w:val="16"/>
          <w:szCs w:val="16"/>
          <w:lang w:val="es-CO" w:eastAsia="es-CO" w:bidi="ar-SA"/>
        </w:rPr>
        <w:t>áreas que participan con sus principales funciones y facultades, entre otros.</w:t>
      </w:r>
      <w:r w:rsidRPr="00976578" w:rsidR="00976578">
        <w:rPr>
          <w:rFonts w:ascii="Arial" w:eastAsia="Times New Roman" w:hAnsi="Arial" w:cs="Arial"/>
          <w:b/>
          <w:bCs/>
          <w:sz w:val="16"/>
          <w:szCs w:val="16"/>
          <w:lang w:val="es-CO" w:eastAsia="es-CO" w:bidi="ar-SA"/>
        </w:rPr>
        <w:t xml:space="preserve"> </w:t>
      </w:r>
      <w:r w:rsidRPr="00976578" w:rsidR="00976578">
        <w:rPr>
          <w:rFonts w:ascii="Arial" w:eastAsia="Arial" w:hAnsi="Arial" w:cs="Arial"/>
          <w:b/>
          <w:color w:val="000000" w:themeColor="text1"/>
          <w:sz w:val="16"/>
          <w:szCs w:val="16"/>
          <w:lang w:val="es-ES" w:eastAsia="es-CO" w:bidi="ar-SA"/>
        </w:rPr>
        <w:t>Para el efecto, la política de inversión puede crear comités en los cuales podrán participar miembros independientes de la sociedad de capitalización.</w:t>
      </w:r>
      <w:r w:rsidRPr="00115FCD">
        <w:rPr>
          <w:rFonts w:ascii="Arial" w:eastAsia="Times New Roman" w:hAnsi="Arial" w:cs="Arial"/>
          <w:b/>
          <w:bCs/>
          <w:sz w:val="16"/>
          <w:szCs w:val="16"/>
          <w:lang w:val="es-CO" w:eastAsia="es-CO" w:bidi="ar-SA"/>
        </w:rPr>
        <w:t xml:space="preserve"> La política de inversión también debe señalar los mecanismos que aseguren que las áreas y comités designados para la gestión de inversiones y administración de sus riesgos: (i) tengan acceso directo a la junta directiva, a los representantes legales, a las unidades de negocio y demás dependencias de la </w:t>
      </w:r>
      <w:r w:rsidRPr="00115FCD" w:rsidR="00115FCD">
        <w:rPr>
          <w:rFonts w:ascii="Arial" w:eastAsia="Times New Roman" w:hAnsi="Arial" w:cs="Arial"/>
          <w:b/>
          <w:bCs/>
          <w:sz w:val="16"/>
          <w:szCs w:val="16"/>
          <w:lang w:val="es-CO" w:eastAsia="es-CO" w:bidi="ar-SA"/>
        </w:rPr>
        <w:t>sociedad</w:t>
      </w:r>
      <w:r w:rsidRPr="00115FCD">
        <w:rPr>
          <w:rFonts w:ascii="Arial" w:eastAsia="Times New Roman" w:hAnsi="Arial" w:cs="Arial"/>
          <w:b/>
          <w:bCs/>
          <w:sz w:val="16"/>
          <w:szCs w:val="16"/>
          <w:lang w:val="es-CO" w:eastAsia="es-CO" w:bidi="ar-SA"/>
        </w:rPr>
        <w:t>, así como a sus registros e información, y (ii) cuenten con el nivel jerárquico, el poder de decisión y la autoridad suficiente para cumplir con sus funciones y responsabilidades</w:t>
      </w:r>
      <w:r w:rsidR="0010135A">
        <w:rPr>
          <w:rFonts w:ascii="Arial" w:eastAsia="Times New Roman" w:hAnsi="Arial" w:cs="Arial"/>
          <w:b/>
          <w:bCs/>
          <w:sz w:val="16"/>
          <w:szCs w:val="16"/>
          <w:lang w:val="es-CO" w:eastAsia="es-CO" w:bidi="ar-SA"/>
        </w:rPr>
        <w:t>, así como p</w:t>
      </w:r>
      <w:r w:rsidRPr="00115FCD">
        <w:rPr>
          <w:rFonts w:ascii="Arial" w:eastAsia="Times New Roman" w:hAnsi="Arial" w:cs="Arial"/>
          <w:b/>
          <w:bCs/>
          <w:sz w:val="16"/>
          <w:szCs w:val="16"/>
          <w:lang w:val="es-CO" w:eastAsia="es-CO" w:bidi="ar-SA"/>
        </w:rPr>
        <w:t>ara hacer recomendaciones y seguimiento a las medidas tomadas por la administración, en respuesta a las circunstancias y oportunidades de mejora identificadas.</w:t>
      </w:r>
    </w:p>
    <w:p w:rsidR="2FF8D787" w:rsidRPr="00115FCD" w:rsidP="00115FCD" w14:paraId="04FF255C"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2FF8D787" w:rsidRPr="00115FCD" w:rsidP="00115FCD" w14:paraId="4B48EA87" w14:textId="66B789E4">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Dentro de las funciones que</w:t>
      </w:r>
      <w:r w:rsidR="0010135A">
        <w:rPr>
          <w:rFonts w:ascii="Arial" w:eastAsia="Times New Roman" w:hAnsi="Arial" w:cs="Arial"/>
          <w:b/>
          <w:bCs/>
          <w:sz w:val="16"/>
          <w:szCs w:val="16"/>
          <w:lang w:val="es-CO" w:eastAsia="es-CO" w:bidi="ar-SA"/>
        </w:rPr>
        <w:t xml:space="preserve"> asigne</w:t>
      </w:r>
      <w:r w:rsidRPr="00115FCD">
        <w:rPr>
          <w:rFonts w:ascii="Arial" w:eastAsia="Times New Roman" w:hAnsi="Arial" w:cs="Arial"/>
          <w:b/>
          <w:bCs/>
          <w:sz w:val="16"/>
          <w:szCs w:val="16"/>
          <w:lang w:val="es-CO" w:eastAsia="es-CO" w:bidi="ar-SA"/>
        </w:rPr>
        <w:t xml:space="preserve"> la política de inversión en relación con la gestión de inversiones y administración de sus riesgos, deberán señalarse por lo menos, las siguientes en cabeza de un área o comité previamente definido:</w:t>
      </w:r>
    </w:p>
    <w:p w:rsidR="00AC54DE" w:rsidRPr="00115FCD" w:rsidP="00AC54DE" w14:paraId="475A080C"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63F38761"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.1. Proponer a la junta directiva, para su respectiva aprobación, las políticas de la entidad en la administración o gestión de riesgos inherentes a la actividad de inversión.</w:t>
      </w:r>
    </w:p>
    <w:p w:rsidR="00AC54DE" w:rsidRPr="00115FCD" w:rsidP="00AC54DE" w14:paraId="109D77F9"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041035DF" w14:textId="3C8B537B">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 xml:space="preserve">.2. </w:t>
      </w:r>
      <w:r w:rsidRPr="00115FCD" w:rsidR="00501947">
        <w:rPr>
          <w:rFonts w:ascii="Arial" w:eastAsia="Times New Roman" w:hAnsi="Arial" w:cs="Arial"/>
          <w:b/>
          <w:bCs/>
          <w:sz w:val="16"/>
          <w:szCs w:val="16"/>
          <w:lang w:val="es-CO" w:eastAsia="es-CO" w:bidi="ar-SA"/>
        </w:rPr>
        <w:t>Evaluar y hacer seguimiento a los informes sobre el cumplimiento de las políticas de administración o gestión de riesgos inherentes a la actividad de inversión</w:t>
      </w:r>
      <w:r w:rsidR="009433CA">
        <w:rPr>
          <w:rFonts w:ascii="Arial" w:eastAsia="Times New Roman" w:hAnsi="Arial" w:cs="Arial"/>
          <w:b/>
          <w:bCs/>
          <w:sz w:val="16"/>
          <w:szCs w:val="16"/>
          <w:lang w:val="es-CO" w:eastAsia="es-CO" w:bidi="ar-SA"/>
        </w:rPr>
        <w:t>,</w:t>
      </w:r>
      <w:r w:rsidRPr="00115FCD" w:rsidR="00501947">
        <w:rPr>
          <w:rFonts w:ascii="Arial" w:eastAsia="Times New Roman" w:hAnsi="Arial" w:cs="Arial"/>
          <w:b/>
          <w:bCs/>
          <w:sz w:val="16"/>
          <w:szCs w:val="16"/>
          <w:lang w:val="es-CO" w:eastAsia="es-CO" w:bidi="ar-SA"/>
        </w:rPr>
        <w:t xml:space="preserve"> y presentar ante la junta directiva un informe semestral sobre dicha evaluación</w:t>
      </w:r>
      <w:r w:rsidR="009433CA">
        <w:rPr>
          <w:rFonts w:ascii="Arial" w:eastAsia="Times New Roman" w:hAnsi="Arial" w:cs="Arial"/>
          <w:b/>
          <w:bCs/>
          <w:sz w:val="16"/>
          <w:szCs w:val="16"/>
          <w:lang w:val="es-CO" w:eastAsia="es-CO" w:bidi="ar-SA"/>
        </w:rPr>
        <w:t>,</w:t>
      </w:r>
      <w:r w:rsidRPr="00115FCD" w:rsidR="00501947">
        <w:rPr>
          <w:rFonts w:ascii="Arial" w:eastAsia="Times New Roman" w:hAnsi="Arial" w:cs="Arial"/>
          <w:b/>
          <w:bCs/>
          <w:sz w:val="16"/>
          <w:szCs w:val="16"/>
          <w:lang w:val="es-CO" w:eastAsia="es-CO" w:bidi="ar-SA"/>
        </w:rPr>
        <w:t xml:space="preserve"> salvo que ocurra una situación que justifique un reporte adicional.</w:t>
      </w:r>
    </w:p>
    <w:p w:rsidR="00501947" w:rsidRPr="00115FCD" w:rsidP="00AC54DE" w14:paraId="7CEF5824"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501947" w:rsidRPr="00115FCD" w:rsidP="00115FCD" w14:paraId="05155CC3"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115FCD" w:rsidR="241F5E8B">
        <w:rPr>
          <w:rFonts w:ascii="Arial" w:eastAsia="Times New Roman" w:hAnsi="Arial" w:cs="Arial"/>
          <w:b/>
          <w:bCs/>
          <w:sz w:val="16"/>
          <w:szCs w:val="16"/>
          <w:lang w:val="es-CO" w:eastAsia="es-CO" w:bidi="ar-SA"/>
        </w:rPr>
        <w:t>5.</w:t>
      </w:r>
      <w:r w:rsidRPr="00115FCD">
        <w:rPr>
          <w:rFonts w:ascii="Arial" w:eastAsia="Times New Roman" w:hAnsi="Arial" w:cs="Arial"/>
          <w:b/>
          <w:bCs/>
          <w:sz w:val="16"/>
          <w:szCs w:val="16"/>
          <w:lang w:val="es-CO" w:eastAsia="es-CO" w:bidi="ar-SA"/>
        </w:rPr>
        <w:t xml:space="preserve">3. </w:t>
      </w:r>
      <w:r w:rsidRPr="00115FCD">
        <w:rPr>
          <w:rFonts w:ascii="Arial" w:eastAsia="Times New Roman" w:hAnsi="Arial" w:cs="Arial"/>
          <w:b/>
          <w:bCs/>
          <w:sz w:val="16"/>
          <w:szCs w:val="16"/>
          <w:lang w:val="es-CO" w:eastAsia="es-CO" w:bidi="ar-SA"/>
        </w:rPr>
        <w:t xml:space="preserve">Proponer a la junta directiva para su respectiva aprobación, las metodologías de identificación, medición, control y monitoreo de los riesgos inherentes a la actividad de inversión y evaluar los resultados sobre </w:t>
      </w:r>
      <w:r w:rsidRPr="003963C9">
        <w:rPr>
          <w:rFonts w:ascii="Arial" w:eastAsia="Times New Roman" w:hAnsi="Arial" w:cs="Arial"/>
          <w:b/>
          <w:bCs/>
          <w:i/>
          <w:iCs/>
          <w:sz w:val="16"/>
          <w:szCs w:val="16"/>
          <w:lang w:val="es-CO" w:eastAsia="es-CO" w:bidi="ar-SA"/>
        </w:rPr>
        <w:t xml:space="preserve">back y stress </w:t>
      </w:r>
      <w:r w:rsidRPr="003963C9">
        <w:rPr>
          <w:rFonts w:ascii="Arial" w:eastAsia="Times New Roman" w:hAnsi="Arial" w:cs="Arial"/>
          <w:b/>
          <w:bCs/>
          <w:i/>
          <w:iCs/>
          <w:sz w:val="16"/>
          <w:szCs w:val="16"/>
          <w:lang w:val="es-CO" w:eastAsia="es-CO" w:bidi="ar-SA"/>
        </w:rPr>
        <w:t>testing</w:t>
      </w:r>
      <w:r w:rsidRPr="003963C9">
        <w:rPr>
          <w:rFonts w:ascii="Arial" w:eastAsia="Times New Roman" w:hAnsi="Arial" w:cs="Arial"/>
          <w:b/>
          <w:bCs/>
          <w:i/>
          <w:iCs/>
          <w:sz w:val="16"/>
          <w:szCs w:val="16"/>
          <w:lang w:val="es-CO" w:eastAsia="es-CO" w:bidi="ar-SA"/>
        </w:rPr>
        <w:t xml:space="preserve">. </w:t>
      </w:r>
    </w:p>
    <w:p w:rsidR="00AC54DE" w:rsidRPr="00115FCD" w:rsidP="00AC54DE" w14:paraId="1F9445BC"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16440D2C"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 xml:space="preserve">4. </w:t>
      </w:r>
      <w:r w:rsidRPr="00115FCD" w:rsidR="00172648">
        <w:rPr>
          <w:rFonts w:ascii="Arial" w:eastAsia="Times New Roman" w:hAnsi="Arial" w:cs="Arial"/>
          <w:b/>
          <w:bCs/>
          <w:sz w:val="16"/>
          <w:szCs w:val="16"/>
          <w:lang w:val="es-CO" w:eastAsia="es-CO" w:bidi="ar-SA"/>
        </w:rPr>
        <w:t>Seleccionar los distintos emisores, contrapartes y gestores de fondos, así como definir los cupos de inversión en ellos.</w:t>
      </w:r>
    </w:p>
    <w:p w:rsidR="00AC54DE" w:rsidRPr="00115FCD" w:rsidP="00AC54DE" w14:paraId="4BBA1C96"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3DE78AE6"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115FCD">
        <w:rPr>
          <w:rFonts w:ascii="Arial" w:eastAsia="Times New Roman" w:hAnsi="Arial" w:cs="Arial"/>
          <w:b/>
          <w:bCs/>
          <w:sz w:val="16"/>
          <w:szCs w:val="16"/>
          <w:lang w:val="es-CO" w:eastAsia="es-CO" w:bidi="ar-SA"/>
        </w:rPr>
        <w:t xml:space="preserve">.5.5. </w:t>
      </w:r>
      <w:r w:rsidRPr="00115FCD" w:rsidR="00172648">
        <w:rPr>
          <w:rFonts w:ascii="Arial" w:eastAsia="Times New Roman" w:hAnsi="Arial" w:cs="Arial"/>
          <w:b/>
          <w:bCs/>
          <w:sz w:val="16"/>
          <w:szCs w:val="16"/>
          <w:lang w:val="es-CO" w:eastAsia="es-CO" w:bidi="ar-SA"/>
        </w:rPr>
        <w:t>Aprobar criterios para la adquisición de nuevas clases de activos, garantizando que se ajusten a las políticas de inversión y cumplan con los lineamientos legales.</w:t>
      </w:r>
    </w:p>
    <w:p w:rsidR="00172648" w:rsidRPr="00115FCD" w:rsidP="00AC54DE" w14:paraId="76C85C50"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2FF8D787" w14:paraId="7F8A6331"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 xml:space="preserve">.6. </w:t>
      </w:r>
      <w:r w:rsidRPr="00115FCD" w:rsidR="00172648">
        <w:rPr>
          <w:rFonts w:ascii="Arial" w:eastAsia="Times New Roman" w:hAnsi="Arial" w:cs="Arial"/>
          <w:b/>
          <w:bCs/>
          <w:sz w:val="16"/>
          <w:szCs w:val="16"/>
          <w:lang w:val="es-CO" w:eastAsia="es-CO" w:bidi="ar-SA"/>
        </w:rPr>
        <w:t>Efectuar seguimiento permanente al mercado con el fin de conocer sobre cualquier evento o contingencia que pudiera afectar la valoración del portafolio de inversiones, incluyendo lo relacionado con riesgos emergentes.</w:t>
      </w:r>
    </w:p>
    <w:p w:rsidR="00AC54DE" w:rsidRPr="00115FCD" w:rsidP="00AC54DE" w14:paraId="7B0C51FF"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22B2A5F0" w14:textId="7A97CCCE">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115FCD">
        <w:rPr>
          <w:rFonts w:ascii="Arial" w:eastAsia="Times New Roman" w:hAnsi="Arial" w:cs="Arial"/>
          <w:b/>
          <w:bCs/>
          <w:sz w:val="16"/>
          <w:szCs w:val="16"/>
          <w:lang w:val="es-CO" w:eastAsia="es-CO" w:bidi="ar-SA"/>
        </w:rPr>
        <w:t>.</w:t>
      </w:r>
      <w:r w:rsidRPr="00115FCD">
        <w:rPr>
          <w:rFonts w:ascii="Arial" w:eastAsia="Times New Roman" w:hAnsi="Arial" w:cs="Arial"/>
          <w:b/>
          <w:bCs/>
          <w:sz w:val="16"/>
          <w:szCs w:val="16"/>
          <w:lang w:val="es-CO" w:eastAsia="es-CO" w:bidi="ar-SA"/>
        </w:rPr>
        <w:t>5.</w:t>
      </w:r>
      <w:r w:rsidRPr="00115FCD">
        <w:rPr>
          <w:rFonts w:ascii="Arial" w:eastAsia="Times New Roman" w:hAnsi="Arial" w:cs="Arial"/>
          <w:b/>
          <w:bCs/>
          <w:sz w:val="16"/>
          <w:szCs w:val="16"/>
          <w:lang w:val="es-CO" w:eastAsia="es-CO" w:bidi="ar-SA"/>
        </w:rPr>
        <w:t xml:space="preserve">7. </w:t>
      </w:r>
      <w:r w:rsidRPr="00115FCD" w:rsidR="00172648">
        <w:rPr>
          <w:rFonts w:ascii="Arial" w:eastAsia="Times New Roman" w:hAnsi="Arial" w:cs="Arial"/>
          <w:b/>
          <w:bCs/>
          <w:sz w:val="16"/>
          <w:szCs w:val="16"/>
          <w:lang w:val="es-CO" w:eastAsia="es-CO" w:bidi="ar-SA"/>
        </w:rPr>
        <w:t>Hacer seguimiento al cumplimiento de la política de inversión</w:t>
      </w:r>
      <w:r w:rsidR="00833C56">
        <w:rPr>
          <w:rFonts w:ascii="Arial" w:eastAsia="Times New Roman" w:hAnsi="Arial" w:cs="Arial"/>
          <w:b/>
          <w:bCs/>
          <w:sz w:val="16"/>
          <w:szCs w:val="16"/>
          <w:lang w:val="es-CO" w:eastAsia="es-CO" w:bidi="ar-SA"/>
        </w:rPr>
        <w:t xml:space="preserve"> y a</w:t>
      </w:r>
      <w:r w:rsidRPr="00115FCD" w:rsidR="00172648">
        <w:rPr>
          <w:rFonts w:ascii="Arial" w:eastAsia="Times New Roman" w:hAnsi="Arial" w:cs="Arial"/>
          <w:b/>
          <w:bCs/>
          <w:sz w:val="16"/>
          <w:szCs w:val="16"/>
          <w:lang w:val="es-CO" w:eastAsia="es-CO" w:bidi="ar-SA"/>
        </w:rPr>
        <w:t xml:space="preserve"> las condiciones que deben cumplir las inversiones.</w:t>
      </w:r>
    </w:p>
    <w:p w:rsidR="00AC54DE" w:rsidRPr="00115FCD" w:rsidP="00AC54DE" w14:paraId="3A94BD3B"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772C607D"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 xml:space="preserve">.8. </w:t>
      </w:r>
      <w:r w:rsidRPr="00115FCD" w:rsidR="00172648">
        <w:rPr>
          <w:rFonts w:ascii="Arial" w:eastAsia="Times New Roman" w:hAnsi="Arial" w:cs="Arial"/>
          <w:b/>
          <w:bCs/>
          <w:sz w:val="16"/>
          <w:szCs w:val="16"/>
          <w:lang w:val="es-CO" w:eastAsia="es-CO" w:bidi="ar-SA"/>
        </w:rPr>
        <w:t>Monitorear los límites de inversión internos y legales, y la posición en riesgo del portafolio de inversiones.</w:t>
      </w:r>
    </w:p>
    <w:p w:rsidR="00172648" w:rsidRPr="00115FCD" w:rsidP="00AC54DE" w14:paraId="7C7E965D"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115FCD" w14:paraId="1F5B70D6"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 xml:space="preserve">.9. </w:t>
      </w:r>
      <w:r w:rsidRPr="00115FCD" w:rsidR="00172648">
        <w:rPr>
          <w:rFonts w:ascii="Arial" w:eastAsia="Times New Roman" w:hAnsi="Arial" w:cs="Arial"/>
          <w:b/>
          <w:bCs/>
          <w:sz w:val="16"/>
          <w:szCs w:val="16"/>
          <w:lang w:val="es-CO" w:eastAsia="es-CO" w:bidi="ar-SA"/>
        </w:rPr>
        <w:t>Presentar a la junta directiva para su aprobación el procedimiento a seguir en caso de incumplimiento a los límites de inversión internos y legales y a los límites de exposición a los riesgos inherentes a la actividad de inversión, las medidas a aplicar en tales casos, el mecanismo de información a la junta directiva sobre los citados eventos, y hacer seguimiento a dicho procedimiento.</w:t>
      </w:r>
    </w:p>
    <w:p w:rsidR="00AC54DE" w:rsidRPr="00115FCD" w:rsidP="00115FCD" w14:paraId="12048FBF"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172648" w:rsidRPr="00115FCD" w:rsidP="00115FCD" w14:paraId="540B493C"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sidR="00AC54DE">
        <w:rPr>
          <w:rFonts w:ascii="Arial" w:eastAsia="Times New Roman" w:hAnsi="Arial" w:cs="Arial"/>
          <w:b/>
          <w:bCs/>
          <w:sz w:val="16"/>
          <w:szCs w:val="16"/>
          <w:lang w:val="es-CO" w:eastAsia="es-CO" w:bidi="ar-SA"/>
        </w:rPr>
        <w:t xml:space="preserve">10. </w:t>
      </w:r>
      <w:r w:rsidRPr="00115FCD">
        <w:rPr>
          <w:rFonts w:ascii="Arial" w:eastAsia="Times New Roman" w:hAnsi="Arial" w:cs="Arial"/>
          <w:b/>
          <w:bCs/>
          <w:sz w:val="16"/>
          <w:szCs w:val="16"/>
          <w:lang w:val="es-CO" w:eastAsia="es-CO" w:bidi="ar-SA"/>
        </w:rPr>
        <w:t>En relación con los conflictos de interés, (i) presentar ante la junta directiva para su respectiva aprobación, las políticas para su gestión en el proceso de selección y negociación de inversiones y de abstención de operaciones que den lugar a potenciales conflictos de interés y (ii) analizar las situaciones relativas a los potenciales conflictos de interés relacionados con el proceso de inversión y su tratamiento, dejando constancia de los temas discutidos.</w:t>
      </w:r>
    </w:p>
    <w:p w:rsidR="00AC54DE" w:rsidRPr="00115FCD" w:rsidP="00115FCD" w14:paraId="50055B23"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115FCD" w14:paraId="78862D78"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 xml:space="preserve">11. </w:t>
      </w:r>
      <w:r w:rsidRPr="00115FCD" w:rsidR="00172648">
        <w:rPr>
          <w:rFonts w:ascii="Arial" w:eastAsia="Times New Roman" w:hAnsi="Arial" w:cs="Arial"/>
          <w:b/>
          <w:bCs/>
          <w:sz w:val="16"/>
          <w:szCs w:val="16"/>
          <w:lang w:val="es-CO" w:eastAsia="es-CO" w:bidi="ar-SA"/>
        </w:rPr>
        <w:t>Preparar los análisis y recomendaciones que consideren necesarias, relacionadas con las condiciones que deben cumplir las inversiones y demás operaciones a realizar con los activos para que la junta directiva las tenga en cuenta en la definición de las políticas de inversión.</w:t>
      </w:r>
    </w:p>
    <w:p w:rsidR="00AC54DE" w:rsidRPr="00115FCD" w:rsidP="00115FCD" w14:paraId="4E8B5A0A"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115FCD" w14:paraId="530A1ECD"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 xml:space="preserve">12. </w:t>
      </w:r>
      <w:r w:rsidRPr="00115FCD" w:rsidR="00172648">
        <w:rPr>
          <w:rFonts w:ascii="Arial" w:eastAsia="Times New Roman" w:hAnsi="Arial" w:cs="Arial"/>
          <w:b/>
          <w:bCs/>
          <w:sz w:val="16"/>
          <w:szCs w:val="16"/>
          <w:lang w:val="es-CO" w:eastAsia="es-CO" w:bidi="ar-SA"/>
        </w:rPr>
        <w:t>Proponer a la junta directiva el procedimiento para evaluar el desempeño en la gestión de las inversiones.</w:t>
      </w:r>
    </w:p>
    <w:p w:rsidR="00AC54DE" w:rsidRPr="00115FCD" w:rsidP="00115FCD" w14:paraId="464C9143"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115FCD" w14:paraId="026D9BAC" w14:textId="2134FABF">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.1</w:t>
      </w:r>
      <w:r w:rsidRPr="00115FCD" w:rsidR="002562F2">
        <w:rPr>
          <w:rFonts w:ascii="Arial" w:eastAsia="Times New Roman" w:hAnsi="Arial" w:cs="Arial"/>
          <w:b/>
          <w:bCs/>
          <w:sz w:val="16"/>
          <w:szCs w:val="16"/>
          <w:lang w:val="es-CO" w:eastAsia="es-CO" w:bidi="ar-SA"/>
        </w:rPr>
        <w:t>3</w:t>
      </w:r>
      <w:r w:rsidRPr="00115FCD">
        <w:rPr>
          <w:rFonts w:ascii="Arial" w:eastAsia="Times New Roman" w:hAnsi="Arial" w:cs="Arial"/>
          <w:b/>
          <w:bCs/>
          <w:sz w:val="16"/>
          <w:szCs w:val="16"/>
          <w:lang w:val="es-CO" w:eastAsia="es-CO" w:bidi="ar-SA"/>
        </w:rPr>
        <w:t xml:space="preserve">. </w:t>
      </w:r>
      <w:r w:rsidRPr="00115FCD" w:rsidR="00172648">
        <w:rPr>
          <w:rFonts w:ascii="Arial" w:eastAsia="Times New Roman" w:hAnsi="Arial" w:cs="Arial"/>
          <w:b/>
          <w:bCs/>
          <w:sz w:val="16"/>
          <w:szCs w:val="16"/>
          <w:lang w:val="es-CO" w:eastAsia="es-CO" w:bidi="ar-SA"/>
        </w:rPr>
        <w:t xml:space="preserve">Definir las clases de activos a invertir, establecer las condiciones que deben cumplir los títulos y/o valores y los emisores de las inversiones u operaciones que se pueden realizar, analizar, evaluar y decidir sobre la administración de los riesgos inherentes a la actividad de inversión, tales como riesgo de mercado, de liquidez, de contraparte, de crédito, de lavado de activos, </w:t>
      </w:r>
      <w:r w:rsidR="004C0302">
        <w:rPr>
          <w:rFonts w:ascii="Arial" w:eastAsia="Times New Roman" w:hAnsi="Arial" w:cs="Arial"/>
          <w:b/>
          <w:bCs/>
          <w:sz w:val="16"/>
          <w:szCs w:val="16"/>
          <w:lang w:val="es-CO" w:eastAsia="es-CO" w:bidi="ar-SA"/>
        </w:rPr>
        <w:t xml:space="preserve">y </w:t>
      </w:r>
      <w:r w:rsidRPr="00115FCD" w:rsidR="00172648">
        <w:rPr>
          <w:rFonts w:ascii="Arial" w:eastAsia="Times New Roman" w:hAnsi="Arial" w:cs="Arial"/>
          <w:b/>
          <w:bCs/>
          <w:sz w:val="16"/>
          <w:szCs w:val="16"/>
          <w:lang w:val="es-CO" w:eastAsia="es-CO" w:bidi="ar-SA"/>
        </w:rPr>
        <w:t>operacional</w:t>
      </w:r>
      <w:r w:rsidR="004C0302">
        <w:rPr>
          <w:rFonts w:ascii="Arial" w:eastAsia="Times New Roman" w:hAnsi="Arial" w:cs="Arial"/>
          <w:b/>
          <w:bCs/>
          <w:sz w:val="16"/>
          <w:szCs w:val="16"/>
          <w:lang w:val="es-CO" w:eastAsia="es-CO" w:bidi="ar-SA"/>
        </w:rPr>
        <w:t>.</w:t>
      </w:r>
    </w:p>
    <w:p w:rsidR="00AC54DE" w:rsidRPr="00115FCD" w:rsidP="00115FCD" w14:paraId="41F9D147"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115FCD" w14:paraId="27DE68B0"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.1</w:t>
      </w:r>
      <w:r w:rsidRPr="00115FCD" w:rsidR="002562F2">
        <w:rPr>
          <w:rFonts w:ascii="Arial" w:eastAsia="Times New Roman" w:hAnsi="Arial" w:cs="Arial"/>
          <w:b/>
          <w:bCs/>
          <w:sz w:val="16"/>
          <w:szCs w:val="16"/>
          <w:lang w:val="es-CO" w:eastAsia="es-CO" w:bidi="ar-SA"/>
        </w:rPr>
        <w:t>4</w:t>
      </w:r>
      <w:r w:rsidRPr="00115FCD">
        <w:rPr>
          <w:rFonts w:ascii="Arial" w:eastAsia="Times New Roman" w:hAnsi="Arial" w:cs="Arial"/>
          <w:b/>
          <w:bCs/>
          <w:sz w:val="16"/>
          <w:szCs w:val="16"/>
          <w:lang w:val="es-CO" w:eastAsia="es-CO" w:bidi="ar-SA"/>
        </w:rPr>
        <w:t xml:space="preserve">. </w:t>
      </w:r>
      <w:r w:rsidRPr="00115FCD" w:rsidR="00172648">
        <w:rPr>
          <w:rFonts w:ascii="Arial" w:eastAsia="Times New Roman" w:hAnsi="Arial" w:cs="Arial"/>
          <w:b/>
          <w:bCs/>
          <w:sz w:val="16"/>
          <w:szCs w:val="16"/>
          <w:lang w:val="es-CO" w:eastAsia="es-CO" w:bidi="ar-SA"/>
        </w:rPr>
        <w:t xml:space="preserve">Presentar a la junta directiva reportes en la periodicidad establecida por la política inversión, en relación con los asuntos y riesgos ASG y climáticos. Esta función debe ser asignada únicamente en caso que la </w:t>
      </w:r>
      <w:r w:rsidR="00115FCD">
        <w:rPr>
          <w:rFonts w:ascii="Arial" w:eastAsia="Times New Roman" w:hAnsi="Arial" w:cs="Arial"/>
          <w:b/>
          <w:bCs/>
          <w:sz w:val="16"/>
          <w:szCs w:val="16"/>
          <w:lang w:val="es-CO" w:eastAsia="es-CO" w:bidi="ar-SA"/>
        </w:rPr>
        <w:t>sociedad de capitalización</w:t>
      </w:r>
      <w:r w:rsidRPr="00115FCD" w:rsidR="00172648">
        <w:rPr>
          <w:rFonts w:ascii="Arial" w:eastAsia="Times New Roman" w:hAnsi="Arial" w:cs="Arial"/>
          <w:b/>
          <w:bCs/>
          <w:sz w:val="16"/>
          <w:szCs w:val="16"/>
          <w:lang w:val="es-CO" w:eastAsia="es-CO" w:bidi="ar-SA"/>
        </w:rPr>
        <w:t xml:space="preserve"> decida incorporar los mencionados análisis en el marco de su política de inversión.</w:t>
      </w:r>
    </w:p>
    <w:p w:rsidR="00AC54DE" w:rsidRPr="00115FCD" w:rsidP="00115FCD" w14:paraId="1A62F4E4"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115FCD" w14:paraId="61599735" w14:textId="676D6083">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3.5</w:t>
      </w:r>
      <w:r w:rsidRPr="00115FCD">
        <w:rPr>
          <w:rFonts w:ascii="Arial" w:eastAsia="Times New Roman" w:hAnsi="Arial" w:cs="Arial"/>
          <w:b/>
          <w:bCs/>
          <w:sz w:val="16"/>
          <w:szCs w:val="16"/>
          <w:lang w:val="es-CO" w:eastAsia="es-CO" w:bidi="ar-SA"/>
        </w:rPr>
        <w:t>.1</w:t>
      </w:r>
      <w:r w:rsidRPr="00115FCD" w:rsidR="002562F2">
        <w:rPr>
          <w:rFonts w:ascii="Arial" w:eastAsia="Times New Roman" w:hAnsi="Arial" w:cs="Arial"/>
          <w:b/>
          <w:bCs/>
          <w:sz w:val="16"/>
          <w:szCs w:val="16"/>
          <w:lang w:val="es-CO" w:eastAsia="es-CO" w:bidi="ar-SA"/>
        </w:rPr>
        <w:t>5</w:t>
      </w:r>
      <w:r w:rsidRPr="00115FCD">
        <w:rPr>
          <w:rFonts w:ascii="Arial" w:eastAsia="Times New Roman" w:hAnsi="Arial" w:cs="Arial"/>
          <w:b/>
          <w:bCs/>
          <w:sz w:val="16"/>
          <w:szCs w:val="16"/>
          <w:lang w:val="es-CO" w:eastAsia="es-CO" w:bidi="ar-SA"/>
        </w:rPr>
        <w:t xml:space="preserve">. </w:t>
      </w:r>
      <w:r w:rsidRPr="00115FCD" w:rsidR="00172648">
        <w:rPr>
          <w:rFonts w:ascii="Arial" w:eastAsia="Times New Roman" w:hAnsi="Arial" w:cs="Arial"/>
          <w:b/>
          <w:bCs/>
          <w:sz w:val="16"/>
          <w:szCs w:val="16"/>
          <w:lang w:val="es-CO" w:eastAsia="es-CO" w:bidi="ar-SA"/>
        </w:rPr>
        <w:t xml:space="preserve">Las demás que asigne </w:t>
      </w:r>
      <w:r w:rsidR="00115FCD">
        <w:rPr>
          <w:rFonts w:ascii="Arial" w:eastAsia="Times New Roman" w:hAnsi="Arial" w:cs="Arial"/>
          <w:b/>
          <w:bCs/>
          <w:sz w:val="16"/>
          <w:szCs w:val="16"/>
          <w:lang w:val="es-CO" w:eastAsia="es-CO" w:bidi="ar-SA"/>
        </w:rPr>
        <w:t>la</w:t>
      </w:r>
      <w:r w:rsidRPr="00115FCD" w:rsidR="00172648">
        <w:rPr>
          <w:rFonts w:ascii="Arial" w:eastAsia="Times New Roman" w:hAnsi="Arial" w:cs="Arial"/>
          <w:b/>
          <w:bCs/>
          <w:sz w:val="16"/>
          <w:szCs w:val="16"/>
          <w:lang w:val="es-CO" w:eastAsia="es-CO" w:bidi="ar-SA"/>
        </w:rPr>
        <w:t xml:space="preserve"> junta directiva</w:t>
      </w:r>
      <w:r w:rsidR="00107551">
        <w:rPr>
          <w:rFonts w:ascii="Arial" w:eastAsia="Times New Roman" w:hAnsi="Arial" w:cs="Arial"/>
          <w:b/>
          <w:bCs/>
          <w:sz w:val="16"/>
          <w:szCs w:val="16"/>
          <w:lang w:val="es-CO" w:eastAsia="es-CO" w:bidi="ar-SA"/>
        </w:rPr>
        <w:t xml:space="preserve"> de la sociedad de capitalización.</w:t>
      </w:r>
    </w:p>
    <w:p w:rsidR="00AC54DE" w:rsidRPr="00115FCD" w:rsidP="00AC54DE" w14:paraId="450AB7ED"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473ED99C"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115FCD" w:rsidR="6692D58D">
        <w:rPr>
          <w:rFonts w:ascii="Arial" w:eastAsia="Times New Roman" w:hAnsi="Arial" w:cs="Arial"/>
          <w:b/>
          <w:bCs/>
          <w:sz w:val="16"/>
          <w:szCs w:val="16"/>
          <w:lang w:val="es-CO" w:eastAsia="es-CO" w:bidi="ar-SA"/>
        </w:rPr>
        <w:t>6.</w:t>
      </w:r>
      <w:r w:rsidRPr="00115FCD">
        <w:rPr>
          <w:rFonts w:ascii="Arial" w:eastAsia="Times New Roman" w:hAnsi="Arial" w:cs="Arial"/>
          <w:b/>
          <w:bCs/>
          <w:sz w:val="16"/>
          <w:szCs w:val="16"/>
          <w:lang w:val="es-CO" w:eastAsia="es-CO" w:bidi="ar-SA"/>
        </w:rPr>
        <w:t xml:space="preserve"> Funciones de la auditoría interna</w:t>
      </w:r>
    </w:p>
    <w:p w:rsidR="00AC54DE" w:rsidRPr="00115FCD" w:rsidP="00AC54DE" w14:paraId="512F1FB2"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17DFCA54"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 xml:space="preserve">Serán funciones de la auditoría interna de la </w:t>
      </w:r>
      <w:r w:rsidRPr="00115FCD" w:rsidR="00CD49C1">
        <w:rPr>
          <w:rFonts w:ascii="Arial" w:eastAsia="Times New Roman" w:hAnsi="Arial" w:cs="Arial"/>
          <w:b/>
          <w:bCs/>
          <w:sz w:val="16"/>
          <w:szCs w:val="16"/>
          <w:lang w:val="es-CO" w:eastAsia="es-CO" w:bidi="ar-SA"/>
        </w:rPr>
        <w:t>sociedad de capitalización</w:t>
      </w:r>
      <w:r w:rsidRPr="00115FCD">
        <w:rPr>
          <w:rFonts w:ascii="Arial" w:eastAsia="Times New Roman" w:hAnsi="Arial" w:cs="Arial"/>
          <w:b/>
          <w:bCs/>
          <w:sz w:val="16"/>
          <w:szCs w:val="16"/>
          <w:lang w:val="es-CO" w:eastAsia="es-CO" w:bidi="ar-SA"/>
        </w:rPr>
        <w:t>, en relación con la política de inversión, las siguientes:</w:t>
      </w:r>
    </w:p>
    <w:p w:rsidR="00AC54DE" w:rsidRPr="00115FCD" w:rsidP="00AC54DE" w14:paraId="7F61CA1C"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00AC54DE" w14:paraId="65938CF4" w14:textId="09FD9AE9">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115FCD" w:rsidR="47A4A882">
        <w:rPr>
          <w:rFonts w:ascii="Arial" w:eastAsia="Times New Roman" w:hAnsi="Arial" w:cs="Arial"/>
          <w:b/>
          <w:bCs/>
          <w:sz w:val="16"/>
          <w:szCs w:val="16"/>
          <w:lang w:val="es-CO" w:eastAsia="es-CO" w:bidi="ar-SA"/>
        </w:rPr>
        <w:t>.6</w:t>
      </w:r>
      <w:r w:rsidRPr="00115FCD">
        <w:rPr>
          <w:rFonts w:ascii="Arial" w:eastAsia="Times New Roman" w:hAnsi="Arial" w:cs="Arial"/>
          <w:b/>
          <w:bCs/>
          <w:sz w:val="16"/>
          <w:szCs w:val="16"/>
          <w:lang w:val="es-CO" w:eastAsia="es-CO" w:bidi="ar-SA"/>
        </w:rPr>
        <w:t xml:space="preserve">.1 </w:t>
      </w:r>
      <w:r w:rsidRPr="00976578" w:rsidR="00976578">
        <w:rPr>
          <w:rFonts w:ascii="Arial" w:eastAsia="Times New Roman" w:hAnsi="Arial" w:cs="Arial"/>
          <w:b/>
          <w:bCs/>
          <w:sz w:val="16"/>
          <w:szCs w:val="16"/>
          <w:lang w:val="es-CO" w:eastAsia="es-CO" w:bidi="ar-SA"/>
        </w:rPr>
        <w:t>Evaluar el cumplimiento de la política de inversión al menos una vez al año</w:t>
      </w:r>
      <w:r w:rsidR="006D27D3">
        <w:rPr>
          <w:rFonts w:ascii="Arial" w:eastAsia="Times New Roman" w:hAnsi="Arial" w:cs="Arial"/>
          <w:b/>
          <w:bCs/>
          <w:sz w:val="16"/>
          <w:szCs w:val="16"/>
          <w:lang w:val="es-CO" w:eastAsia="es-CO" w:bidi="ar-SA"/>
        </w:rPr>
        <w:t>.</w:t>
      </w:r>
      <w:r w:rsidRPr="00976578" w:rsidR="00976578">
        <w:rPr>
          <w:rFonts w:ascii="Arial" w:eastAsia="Times New Roman" w:hAnsi="Arial" w:cs="Arial"/>
          <w:b/>
          <w:bCs/>
          <w:sz w:val="16"/>
          <w:szCs w:val="16"/>
          <w:lang w:val="es-CO" w:eastAsia="es-CO" w:bidi="ar-SA"/>
        </w:rPr>
        <w:t xml:space="preserve"> o cuando </w:t>
      </w:r>
      <w:r w:rsidRPr="00115FCD">
        <w:rPr>
          <w:rFonts w:ascii="Arial" w:eastAsia="Times New Roman" w:hAnsi="Arial" w:cs="Arial"/>
          <w:b/>
          <w:bCs/>
          <w:sz w:val="16"/>
          <w:szCs w:val="16"/>
          <w:lang w:val="es-CO" w:eastAsia="es-CO" w:bidi="ar-SA"/>
        </w:rPr>
        <w:t>se presenten situaciones que requieran su revisión</w:t>
      </w:r>
      <w:r w:rsidR="003949DD">
        <w:rPr>
          <w:rFonts w:ascii="Arial" w:eastAsia="Times New Roman" w:hAnsi="Arial" w:cs="Arial"/>
          <w:b/>
          <w:bCs/>
          <w:sz w:val="16"/>
          <w:szCs w:val="16"/>
          <w:lang w:val="es-CO" w:eastAsia="es-CO" w:bidi="ar-SA"/>
        </w:rPr>
        <w:t>,</w:t>
      </w:r>
      <w:r w:rsidRPr="00115FCD">
        <w:rPr>
          <w:rFonts w:ascii="Arial" w:eastAsia="Times New Roman" w:hAnsi="Arial" w:cs="Arial"/>
          <w:b/>
          <w:bCs/>
          <w:sz w:val="16"/>
          <w:szCs w:val="16"/>
          <w:lang w:val="es-CO" w:eastAsia="es-CO" w:bidi="ar-SA"/>
        </w:rPr>
        <w:t xml:space="preserve"> e informar al comité de riesgos, al representante legal, al comité de auditoría y a la </w:t>
      </w:r>
      <w:r w:rsidRPr="00115FCD" w:rsidR="000046EF">
        <w:rPr>
          <w:rFonts w:ascii="Arial" w:eastAsia="Times New Roman" w:hAnsi="Arial" w:cs="Arial"/>
          <w:b/>
          <w:bCs/>
          <w:sz w:val="16"/>
          <w:szCs w:val="16"/>
          <w:lang w:val="es-CO" w:eastAsia="es-CO" w:bidi="ar-SA"/>
        </w:rPr>
        <w:t>junta directiva</w:t>
      </w:r>
      <w:r w:rsidRPr="00115FCD">
        <w:rPr>
          <w:rFonts w:ascii="Arial" w:eastAsia="Times New Roman" w:hAnsi="Arial" w:cs="Arial"/>
          <w:b/>
          <w:bCs/>
          <w:sz w:val="16"/>
          <w:szCs w:val="16"/>
          <w:lang w:val="es-CO" w:eastAsia="es-CO" w:bidi="ar-SA"/>
        </w:rPr>
        <w:t xml:space="preserve"> los resultados de dicha evaluación.</w:t>
      </w:r>
    </w:p>
    <w:p w:rsidR="00CD49C1" w:rsidRPr="00115FCD" w:rsidP="00AC54DE" w14:paraId="68936559"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C1656B" w:rsidP="2FF8D787" w14:paraId="0B69B687"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115FCD" w:rsidR="5BBFF868">
        <w:rPr>
          <w:rFonts w:ascii="Arial" w:eastAsia="Times New Roman" w:hAnsi="Arial" w:cs="Arial"/>
          <w:b/>
          <w:bCs/>
          <w:sz w:val="16"/>
          <w:szCs w:val="16"/>
          <w:lang w:val="es-CO" w:eastAsia="es-CO" w:bidi="ar-SA"/>
        </w:rPr>
        <w:t>.6</w:t>
      </w:r>
      <w:r w:rsidRPr="00115FCD">
        <w:rPr>
          <w:rFonts w:ascii="Arial" w:eastAsia="Times New Roman" w:hAnsi="Arial" w:cs="Arial"/>
          <w:b/>
          <w:bCs/>
          <w:sz w:val="16"/>
          <w:szCs w:val="16"/>
          <w:lang w:val="es-CO" w:eastAsia="es-CO" w:bidi="ar-SA"/>
        </w:rPr>
        <w:t xml:space="preserve">.2 </w:t>
      </w:r>
      <w:r w:rsidRPr="00115FCD" w:rsidR="0053240D">
        <w:rPr>
          <w:rFonts w:ascii="Arial" w:eastAsia="Times New Roman" w:hAnsi="Arial" w:cs="Arial"/>
          <w:b/>
          <w:bCs/>
          <w:sz w:val="16"/>
          <w:szCs w:val="16"/>
          <w:lang w:val="es-CO" w:eastAsia="es-CO" w:bidi="ar-SA"/>
        </w:rPr>
        <w:t xml:space="preserve">Realizar el seguimiento a las recomendaciones o fallas identificadas en la política de inversión y la asignación estratégica de activos que resulten de la propia auditoría interna, así como de los planes de acción y medidas adoptadas por la entidad. </w:t>
      </w:r>
    </w:p>
    <w:p w:rsidR="00C1656B" w:rsidP="2FF8D787" w14:paraId="25365713"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AC54DE" w:rsidRPr="00115FCD" w:rsidP="2FF8D787" w14:paraId="79A3F912" w14:textId="72F77019">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Pr>
          <w:rFonts w:ascii="Arial" w:eastAsia="Times New Roman" w:hAnsi="Arial" w:cs="Arial"/>
          <w:b/>
          <w:bCs/>
          <w:sz w:val="16"/>
          <w:szCs w:val="16"/>
          <w:lang w:val="es-CO" w:eastAsia="es-CO" w:bidi="ar-SA"/>
        </w:rPr>
        <w:t>3.6.3 Llevar a cabo</w:t>
      </w:r>
      <w:r w:rsidRPr="00115FCD" w:rsidR="0053240D">
        <w:rPr>
          <w:rFonts w:ascii="Arial" w:eastAsia="Times New Roman" w:hAnsi="Arial" w:cs="Arial"/>
          <w:b/>
          <w:bCs/>
          <w:sz w:val="16"/>
          <w:szCs w:val="16"/>
          <w:lang w:val="es-CO" w:eastAsia="es-CO" w:bidi="ar-SA"/>
        </w:rPr>
        <w:t xml:space="preserve"> el seguimiento a</w:t>
      </w:r>
      <w:r w:rsidR="003949DD">
        <w:rPr>
          <w:rFonts w:ascii="Arial" w:eastAsia="Times New Roman" w:hAnsi="Arial" w:cs="Arial"/>
          <w:b/>
          <w:bCs/>
          <w:sz w:val="16"/>
          <w:szCs w:val="16"/>
          <w:lang w:val="es-CO" w:eastAsia="es-CO" w:bidi="ar-SA"/>
        </w:rPr>
        <w:t>l cumplimiento de</w:t>
      </w:r>
      <w:r w:rsidRPr="00115FCD" w:rsidR="0053240D">
        <w:rPr>
          <w:rFonts w:ascii="Arial" w:eastAsia="Times New Roman" w:hAnsi="Arial" w:cs="Arial"/>
          <w:b/>
          <w:bCs/>
          <w:sz w:val="16"/>
          <w:szCs w:val="16"/>
          <w:lang w:val="es-CO" w:eastAsia="es-CO" w:bidi="ar-SA"/>
        </w:rPr>
        <w:t xml:space="preserve"> las órdenes que le imparta la SFC.</w:t>
      </w:r>
    </w:p>
    <w:p w:rsidR="2FF8D787" w:rsidRPr="00115FCD" w:rsidP="00115FCD" w14:paraId="22971D67"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4CB2C4B7" w:rsidRPr="00115FCD" w:rsidP="00115FCD" w14:paraId="1A4FC79F" w14:textId="2C110046">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3.6.</w:t>
      </w:r>
      <w:r w:rsidR="00C1656B">
        <w:rPr>
          <w:rFonts w:ascii="Arial" w:eastAsia="Times New Roman" w:hAnsi="Arial" w:cs="Arial"/>
          <w:b/>
          <w:bCs/>
          <w:sz w:val="16"/>
          <w:szCs w:val="16"/>
          <w:lang w:val="es-CO" w:eastAsia="es-CO" w:bidi="ar-SA"/>
        </w:rPr>
        <w:t>4</w:t>
      </w:r>
      <w:r w:rsidRPr="00115FCD">
        <w:rPr>
          <w:rFonts w:ascii="Arial" w:eastAsia="Times New Roman" w:hAnsi="Arial" w:cs="Arial"/>
          <w:b/>
          <w:bCs/>
          <w:sz w:val="16"/>
          <w:szCs w:val="16"/>
          <w:lang w:val="es-CO" w:eastAsia="es-CO" w:bidi="ar-SA"/>
        </w:rPr>
        <w:t xml:space="preserve"> Efectuar control y seguimiento al cumplimiento de la política de inversión y presentar un informe </w:t>
      </w:r>
      <w:r w:rsidR="00976578">
        <w:rPr>
          <w:rFonts w:ascii="Arial" w:eastAsia="Times New Roman" w:hAnsi="Arial" w:cs="Arial"/>
          <w:b/>
          <w:bCs/>
          <w:sz w:val="16"/>
          <w:szCs w:val="16"/>
          <w:lang w:val="es-CO" w:eastAsia="es-CO" w:bidi="ar-SA"/>
        </w:rPr>
        <w:t>semestral</w:t>
      </w:r>
      <w:r w:rsidRPr="00115FCD">
        <w:rPr>
          <w:rFonts w:ascii="Arial" w:eastAsia="Times New Roman" w:hAnsi="Arial" w:cs="Arial"/>
          <w:b/>
          <w:bCs/>
          <w:sz w:val="16"/>
          <w:szCs w:val="16"/>
          <w:lang w:val="es-CO" w:eastAsia="es-CO" w:bidi="ar-SA"/>
        </w:rPr>
        <w:t xml:space="preserve"> a la junta directiva sobre el particular.</w:t>
      </w:r>
    </w:p>
    <w:p w:rsidR="00AC54DE" w:rsidRPr="00115FCD" w:rsidP="008F1973" w14:paraId="01A9D204"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8F1973" w:rsidRPr="00115FCD" w:rsidP="008F1973" w14:paraId="6AEAA038"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w:t>
      </w:r>
      <w:r w:rsidRPr="00115FCD">
        <w:rPr>
          <w:rFonts w:ascii="Arial" w:eastAsia="Times New Roman" w:hAnsi="Arial" w:cs="Arial"/>
          <w:b/>
          <w:bCs/>
          <w:sz w:val="16"/>
          <w:szCs w:val="16"/>
          <w:lang w:val="es-CO" w:eastAsia="es-CO" w:bidi="ar-SA"/>
        </w:rPr>
        <w:t>.</w:t>
      </w:r>
      <w:r w:rsidRPr="00115FCD" w:rsidR="6745A119">
        <w:rPr>
          <w:rFonts w:ascii="Arial" w:eastAsia="Times New Roman" w:hAnsi="Arial" w:cs="Arial"/>
          <w:b/>
          <w:bCs/>
          <w:sz w:val="16"/>
          <w:szCs w:val="16"/>
          <w:lang w:val="es-CO" w:eastAsia="es-CO" w:bidi="ar-SA"/>
        </w:rPr>
        <w:t>7</w:t>
      </w:r>
      <w:r w:rsidRPr="00115FCD">
        <w:rPr>
          <w:rFonts w:ascii="Arial" w:eastAsia="Times New Roman" w:hAnsi="Arial" w:cs="Arial"/>
          <w:b/>
          <w:bCs/>
          <w:sz w:val="16"/>
          <w:szCs w:val="16"/>
          <w:lang w:val="es-CO" w:eastAsia="es-CO" w:bidi="ar-SA"/>
        </w:rPr>
        <w:t xml:space="preserve"> Control de límites de inversión</w:t>
      </w:r>
    </w:p>
    <w:p w:rsidR="008F1973" w:rsidRPr="00115FCD" w:rsidP="008F1973" w14:paraId="46116A19"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D729AA" w:rsidRPr="00115FCD" w:rsidP="00D729AA" w14:paraId="252019B9"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Las</w:t>
      </w:r>
      <w:r w:rsidRPr="00115FCD" w:rsidR="00157842">
        <w:rPr>
          <w:rFonts w:ascii="Arial" w:eastAsia="Times New Roman" w:hAnsi="Arial" w:cs="Arial"/>
          <w:b/>
          <w:bCs/>
          <w:sz w:val="16"/>
          <w:szCs w:val="16"/>
          <w:lang w:val="es-CO" w:eastAsia="es-CO" w:bidi="ar-SA"/>
        </w:rPr>
        <w:t xml:space="preserve"> sociedades de capitalización</w:t>
      </w:r>
      <w:r w:rsidRPr="00115FCD">
        <w:rPr>
          <w:rFonts w:ascii="Arial" w:eastAsia="Times New Roman" w:hAnsi="Arial" w:cs="Arial"/>
          <w:b/>
          <w:bCs/>
          <w:sz w:val="16"/>
          <w:szCs w:val="16"/>
          <w:lang w:val="es-CO" w:eastAsia="es-CO" w:bidi="ar-SA"/>
        </w:rPr>
        <w:t xml:space="preserve"> deben adoptar procesos y mecanismos que les permitan realizar el control de los límites de inversión tanto propios como legales, de manera que se dé cumplimiento a las disposiciones del artículo 2.31.3.1.1 y siguientes del Decreto 2555 de 2010.</w:t>
      </w:r>
    </w:p>
    <w:p w:rsidR="00F24D2F" w:rsidRPr="00115FCD" w:rsidP="00D729AA" w14:paraId="5B87A379"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F24D2F" w:rsidRPr="00115FCD" w:rsidP="00A70653" w14:paraId="7D974DEB"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3.7.1 Para el cumplimiento de los límites establecidos para las inversiones que respaldan las reservas técnicas de que trata el artículo 2.31.3.1.5 del Decreto 2555 de 2010</w:t>
      </w:r>
      <w:r w:rsidRPr="00115FCD" w:rsidR="009071CD">
        <w:rPr>
          <w:rFonts w:ascii="Arial" w:eastAsia="Times New Roman" w:hAnsi="Arial" w:cs="Arial"/>
          <w:b/>
          <w:bCs/>
          <w:sz w:val="16"/>
          <w:szCs w:val="16"/>
          <w:lang w:val="es-CO" w:eastAsia="es-CO" w:bidi="ar-SA"/>
        </w:rPr>
        <w:t xml:space="preserve"> u otras disposiciones</w:t>
      </w:r>
      <w:r w:rsidRPr="00115FCD">
        <w:rPr>
          <w:rFonts w:ascii="Arial" w:eastAsia="Times New Roman" w:hAnsi="Arial" w:cs="Arial"/>
          <w:b/>
          <w:bCs/>
          <w:sz w:val="16"/>
          <w:szCs w:val="16"/>
          <w:lang w:val="es-CO" w:eastAsia="es-CO" w:bidi="ar-SA"/>
        </w:rPr>
        <w:t xml:space="preserve">, las sociedades de capitalización deben mantener actualizada la información respecto de la exposición de los vehículos de inversión </w:t>
      </w:r>
      <w:r w:rsidRPr="00115FCD" w:rsidR="00935EB0">
        <w:rPr>
          <w:rFonts w:ascii="Arial" w:eastAsia="Times New Roman" w:hAnsi="Arial" w:cs="Arial"/>
          <w:b/>
          <w:bCs/>
          <w:sz w:val="16"/>
          <w:szCs w:val="16"/>
          <w:lang w:val="es-CO" w:eastAsia="es-CO" w:bidi="ar-SA"/>
        </w:rPr>
        <w:t>en</w:t>
      </w:r>
      <w:r w:rsidRPr="00115FCD">
        <w:rPr>
          <w:rFonts w:ascii="Arial" w:eastAsia="Times New Roman" w:hAnsi="Arial" w:cs="Arial"/>
          <w:b/>
          <w:bCs/>
          <w:sz w:val="16"/>
          <w:szCs w:val="16"/>
          <w:lang w:val="es-CO" w:eastAsia="es-CO" w:bidi="ar-SA"/>
        </w:rPr>
        <w:t xml:space="preserve"> activos considerados como alternativos. </w:t>
      </w:r>
    </w:p>
    <w:p w:rsidR="00F24D2F" w:rsidRPr="00115FCD" w:rsidP="00115FCD" w14:paraId="30951EF7" w14:textId="7777777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p>
    <w:p w:rsidR="00D729AA" w:rsidRPr="00115FCD" w:rsidP="00115FCD" w14:paraId="63D1C777" w14:textId="52561E17">
      <w:pPr>
        <w:pStyle w:val="ListParagraph"/>
        <w:pBdr>
          <w:left w:val="single" w:sz="4" w:space="4" w:color="auto"/>
        </w:pBdr>
        <w:ind w:left="0"/>
        <w:contextualSpacing/>
        <w:jc w:val="both"/>
        <w:rPr>
          <w:rFonts w:ascii="Arial" w:eastAsia="Times New Roman" w:hAnsi="Arial" w:cs="Arial"/>
          <w:b/>
          <w:bCs/>
          <w:sz w:val="16"/>
          <w:szCs w:val="16"/>
          <w:lang w:val="es-CO" w:eastAsia="es-CO" w:bidi="ar-SA"/>
        </w:rPr>
      </w:pPr>
      <w:r w:rsidRPr="00115FCD">
        <w:rPr>
          <w:rFonts w:ascii="Arial" w:eastAsia="Times New Roman" w:hAnsi="Arial" w:cs="Arial"/>
          <w:b/>
          <w:bCs/>
          <w:sz w:val="16"/>
          <w:szCs w:val="16"/>
          <w:lang w:val="es-CO" w:eastAsia="es-CO" w:bidi="ar-SA"/>
        </w:rPr>
        <w:t xml:space="preserve">En la determinación de la exposición a activos alternativos realizadas a través de fondos de fondos u otros vehículos de inversión, las sociedades de capitalización deben implementar un mecanismo que les permita determinar la exposición del fondo subyacente a estas inversiones. En el caso </w:t>
      </w:r>
      <w:r w:rsidRPr="00115FCD" w:rsidR="006D0CED">
        <w:rPr>
          <w:rFonts w:ascii="Arial" w:eastAsia="Times New Roman" w:hAnsi="Arial" w:cs="Arial"/>
          <w:b/>
          <w:bCs/>
          <w:sz w:val="16"/>
          <w:szCs w:val="16"/>
          <w:lang w:val="es-CO" w:eastAsia="es-CO" w:bidi="ar-SA"/>
        </w:rPr>
        <w:t xml:space="preserve">de </w:t>
      </w:r>
      <w:r w:rsidRPr="00115FCD">
        <w:rPr>
          <w:rFonts w:ascii="Arial" w:eastAsia="Times New Roman" w:hAnsi="Arial" w:cs="Arial"/>
          <w:b/>
          <w:bCs/>
          <w:sz w:val="16"/>
          <w:szCs w:val="16"/>
          <w:lang w:val="es-CO" w:eastAsia="es-CO" w:bidi="ar-SA"/>
        </w:rPr>
        <w:t xml:space="preserve">que para el fondo subyacente no se cuente con información </w:t>
      </w:r>
      <w:r w:rsidRPr="00115FCD" w:rsidR="001D5367">
        <w:rPr>
          <w:rFonts w:ascii="Arial" w:eastAsia="Times New Roman" w:hAnsi="Arial" w:cs="Arial"/>
          <w:b/>
          <w:bCs/>
          <w:sz w:val="16"/>
          <w:szCs w:val="16"/>
          <w:lang w:val="es-CO" w:eastAsia="es-CO" w:bidi="ar-SA"/>
        </w:rPr>
        <w:t>de los tres (3) meses anteriores</w:t>
      </w:r>
      <w:r w:rsidRPr="00115FCD">
        <w:rPr>
          <w:rFonts w:ascii="Arial" w:eastAsia="Times New Roman" w:hAnsi="Arial" w:cs="Arial"/>
          <w:b/>
          <w:bCs/>
          <w:sz w:val="16"/>
          <w:szCs w:val="16"/>
          <w:lang w:val="es-CO" w:eastAsia="es-CO" w:bidi="ar-SA"/>
        </w:rPr>
        <w:t xml:space="preserve">, la sociedad de capitalización debe tomar la máxima exposición permitida en este tipo de inversiones, según la política de inversión establecida en el reglamento. </w:t>
      </w:r>
      <w:r w:rsidRPr="00976578" w:rsidR="00976578">
        <w:rPr>
          <w:rFonts w:ascii="Arial" w:eastAsia="Times New Roman" w:hAnsi="Arial" w:cs="Arial"/>
          <w:b/>
          <w:bCs/>
          <w:sz w:val="16"/>
          <w:szCs w:val="16"/>
          <w:lang w:val="es-CO" w:eastAsia="es-CO" w:bidi="ar-SA"/>
        </w:rPr>
        <w:t xml:space="preserve">En la determinación de la exposición subyacente en activos alternativos, el mecanismo debe definir el número de veces que razonablemente la </w:t>
      </w:r>
      <w:r w:rsidR="002842A3">
        <w:rPr>
          <w:rFonts w:ascii="Arial" w:eastAsia="Times New Roman" w:hAnsi="Arial" w:cs="Arial"/>
          <w:b/>
          <w:bCs/>
          <w:sz w:val="16"/>
          <w:szCs w:val="16"/>
          <w:lang w:val="es-CO" w:eastAsia="es-CO" w:bidi="ar-SA"/>
        </w:rPr>
        <w:t>sociedad de capitalización</w:t>
      </w:r>
      <w:r w:rsidRPr="00976578" w:rsidR="00976578">
        <w:rPr>
          <w:rFonts w:ascii="Arial" w:eastAsia="Times New Roman" w:hAnsi="Arial" w:cs="Arial"/>
          <w:b/>
          <w:bCs/>
          <w:sz w:val="16"/>
          <w:szCs w:val="16"/>
          <w:lang w:val="es-CO" w:eastAsia="es-CO" w:bidi="ar-SA"/>
        </w:rPr>
        <w:t xml:space="preserve"> debe evaluar los activos subyacentes dentro de la composición de un vehículo de inversión u otro tipo de esquema de inversión indirecta, con el fin de establecer su exposición.</w:t>
      </w:r>
    </w:p>
    <w:p w:rsidR="0025389A" w:rsidP="0025389A" w14:paraId="01DE02FD" w14:textId="77777777">
      <w:pPr>
        <w:ind w:right="51"/>
        <w:jc w:val="both"/>
        <w:rPr>
          <w:rFonts w:ascii="Arial" w:eastAsia="Times New Roman" w:hAnsi="Arial" w:cs="Times New Roman"/>
          <w:b/>
          <w:sz w:val="16"/>
          <w:szCs w:val="16"/>
          <w:lang w:val="es-CO" w:eastAsia="es-CO" w:bidi="ar-SA"/>
        </w:rPr>
      </w:pPr>
    </w:p>
    <w:p w:rsidR="008F2640" w:rsidRPr="008F1973" w:rsidP="0025389A" w14:paraId="3D2566D2" w14:textId="77777777">
      <w:pPr>
        <w:ind w:right="51"/>
        <w:jc w:val="both"/>
        <w:rPr>
          <w:rFonts w:ascii="Arial" w:eastAsia="Times New Roman" w:hAnsi="Arial" w:cs="Times New Roman"/>
          <w:b/>
          <w:sz w:val="16"/>
          <w:szCs w:val="16"/>
          <w:lang w:val="es-CO" w:eastAsia="es-CO" w:bidi="ar-SA"/>
        </w:rPr>
      </w:pPr>
    </w:p>
    <w:p w:rsidR="0025389A" w:rsidP="0025389A" w14:paraId="5EE667FF" w14:textId="77777777">
      <w:pPr>
        <w:pStyle w:val="Heading1"/>
        <w:keepNext/>
        <w:spacing w:before="0" w:after="0"/>
        <w:jc w:val="left"/>
        <w:rPr>
          <w:rFonts w:ascii="Arial" w:eastAsia="Times New Roman" w:hAnsi="Arial" w:cs="Arial"/>
          <w:b/>
          <w:bCs/>
          <w:kern w:val="32"/>
          <w:sz w:val="16"/>
          <w:szCs w:val="32"/>
          <w:lang w:val="es-ES" w:eastAsia="es-CO" w:bidi="ar-SA"/>
        </w:rPr>
      </w:pPr>
      <w:bookmarkStart w:id="11" w:name="_Toc263881113"/>
      <w:r w:rsidRPr="003D1446">
        <w:rPr>
          <w:rFonts w:ascii="Arial" w:eastAsia="Times New Roman" w:hAnsi="Arial" w:cs="Arial"/>
          <w:b/>
          <w:bCs/>
          <w:kern w:val="32"/>
          <w:sz w:val="16"/>
          <w:szCs w:val="32"/>
          <w:lang w:val="es-ES" w:eastAsia="es-CO" w:bidi="ar-SA"/>
        </w:rPr>
        <w:t>4.</w:t>
      </w:r>
      <w:r>
        <w:rPr>
          <w:rFonts w:ascii="Arial" w:eastAsia="Times New Roman" w:hAnsi="Arial" w:cs="Arial"/>
          <w:b/>
          <w:bCs/>
          <w:kern w:val="32"/>
          <w:sz w:val="16"/>
          <w:szCs w:val="32"/>
          <w:lang w:val="es-ES" w:eastAsia="es-CO" w:bidi="ar-SA"/>
        </w:rPr>
        <w:t xml:space="preserve"> NOTIFICACIÓN DE ENTREGA DE LOS RECURSOS</w:t>
      </w:r>
      <w:bookmarkEnd w:id="11"/>
    </w:p>
    <w:p w:rsidR="0025389A" w:rsidRPr="003D1446" w:rsidP="0025389A" w14:paraId="48308D15" w14:textId="77777777">
      <w:pPr>
        <w:ind w:right="51"/>
        <w:jc w:val="both"/>
        <w:rPr>
          <w:rFonts w:ascii="Arial" w:eastAsia="Times New Roman" w:hAnsi="Arial" w:cs="Times New Roman"/>
          <w:sz w:val="16"/>
          <w:szCs w:val="16"/>
          <w:lang w:val="es-ES" w:eastAsia="es-CO" w:bidi="ar-SA"/>
        </w:rPr>
      </w:pPr>
    </w:p>
    <w:p w:rsidR="0025389A" w:rsidRPr="005974F4" w:rsidP="0025389A" w14:paraId="09A14A9B" w14:textId="77777777">
      <w:pPr>
        <w:jc w:val="both"/>
        <w:rPr>
          <w:rFonts w:ascii="Arial" w:eastAsia="Times New Roman" w:hAnsi="Arial" w:cs="Times New Roman"/>
          <w:b/>
          <w:sz w:val="16"/>
          <w:szCs w:val="16"/>
          <w:lang w:val="es-ES" w:eastAsia="es-CO" w:bidi="ar-SA"/>
        </w:rPr>
      </w:pPr>
      <w:r w:rsidRPr="003D1446">
        <w:rPr>
          <w:rFonts w:ascii="Arial" w:eastAsia="Times New Roman" w:hAnsi="Arial" w:cs="Times New Roman"/>
          <w:sz w:val="16"/>
          <w:szCs w:val="16"/>
          <w:lang w:val="es-ES" w:eastAsia="es-CO" w:bidi="ar-SA"/>
        </w:rPr>
        <w:t xml:space="preserve">Dentro de los 5 días siguientes a la fecha en que se venza o se rescinda un título debe enviarse a la última dirección registrada por el suscriptor, por una sola vez, 2 comunicaciones escritas con intervalos entre ellas de 60 días, indicando el saldo a su favor y las direcciones de las oficinas de la capitalizadora a las cuales pueda acercarse a reclamar su dinero. Así mismo, en dicha comunicación debe advertirse sobre el término de prescripción de acciones legales a que alude el numeral 4 del </w:t>
      </w:r>
      <w:r>
        <w:rPr>
          <w:rFonts w:ascii="Arial" w:eastAsia="Times New Roman" w:hAnsi="Arial" w:cs="Times New Roman"/>
          <w:sz w:val="16"/>
          <w:szCs w:val="16"/>
          <w:lang w:val="es-ES" w:eastAsia="es-CO" w:bidi="ar-SA"/>
        </w:rPr>
        <w:t>art.</w:t>
      </w:r>
      <w:r w:rsidRPr="003D1446">
        <w:rPr>
          <w:rFonts w:ascii="Arial" w:eastAsia="Times New Roman" w:hAnsi="Arial" w:cs="Times New Roman"/>
          <w:sz w:val="16"/>
          <w:szCs w:val="16"/>
          <w:lang w:val="es-ES" w:eastAsia="es-CO" w:bidi="ar-SA"/>
        </w:rPr>
        <w:t xml:space="preserve"> 180 EOSF.</w:t>
      </w:r>
    </w:p>
    <w:p w:rsidR="005974F4" w:rsidRPr="005974F4" w:rsidP="0025389A" w14:paraId="0BB7C5F9" w14:textId="77777777">
      <w:pPr>
        <w:pStyle w:val="Heading2"/>
        <w:keepNext/>
        <w:spacing w:before="0" w:after="0"/>
        <w:jc w:val="left"/>
        <w:rPr>
          <w:rFonts w:ascii="Arial" w:eastAsia="Times New Roman" w:hAnsi="Arial" w:cs="Arial"/>
          <w:b w:val="0"/>
          <w:bCs/>
          <w:iCs/>
          <w:sz w:val="16"/>
          <w:szCs w:val="16"/>
          <w:lang w:val="es-ES" w:eastAsia="es-CO" w:bidi="ar-SA"/>
        </w:rPr>
        <w:sectPr w:rsidSect="00EF3587">
          <w:headerReference w:type="even" r:id="rId15"/>
          <w:headerReference w:type="default" r:id="rId16"/>
          <w:footerReference w:type="even" r:id="rId17"/>
          <w:footerReference w:type="default" r:id="rId18"/>
          <w:pgSz w:w="12240" w:h="18720" w:code="14"/>
          <w:pgMar w:top="1418" w:right="1701" w:bottom="1418" w:left="1701" w:header="1134" w:footer="1134" w:gutter="0"/>
          <w:pgNumType w:start="3"/>
          <w:cols w:space="708"/>
          <w:docGrid w:linePitch="360"/>
        </w:sectPr>
      </w:pPr>
    </w:p>
    <w:p w:rsidR="000506D4" w:rsidRPr="00CD186B" w:rsidP="00BE660C" w14:paraId="697D87E2" w14:textId="77777777">
      <w:pPr>
        <w:pStyle w:val="ListParagraph"/>
        <w:ind w:left="0"/>
        <w:contextualSpacing/>
        <w:jc w:val="both"/>
        <w:rPr>
          <w:rFonts w:ascii="Arial" w:eastAsia="Times New Roman" w:hAnsi="Arial" w:cs="Arial"/>
          <w:sz w:val="16"/>
          <w:szCs w:val="16"/>
          <w:lang w:val="es-ES" w:eastAsia="es-CO" w:bidi="ar-SA"/>
        </w:rPr>
      </w:pPr>
      <w:r w:rsidRPr="00866976">
        <w:rPr>
          <w:rFonts w:ascii="Arial" w:eastAsia="Times New Roman" w:hAnsi="Arial" w:cs="Arial"/>
          <w:sz w:val="16"/>
          <w:szCs w:val="16"/>
          <w:lang w:val="es-ES" w:eastAsia="es-CO" w:bidi="ar-SA"/>
        </w:rPr>
        <w:t>2.2.7.1.1.5. En caso de que en el contrato de reaseguro se hayan establecido depósitos de reserva retenidos a reaseguradoras, el valor del depósito vigente debe ser descontado en la valoración de las contingencias a cargo de las reaseguradoras.</w:t>
      </w:r>
    </w:p>
    <w:p w:rsidR="000506D4" w:rsidRPr="00CD186B" w:rsidP="00BE660C" w14:paraId="0FD2CB90" w14:textId="77777777">
      <w:pPr>
        <w:pStyle w:val="ListParagraph"/>
        <w:ind w:left="0"/>
        <w:contextualSpacing/>
        <w:jc w:val="both"/>
        <w:rPr>
          <w:rFonts w:ascii="Arial" w:eastAsia="Times New Roman" w:hAnsi="Arial" w:cs="Arial"/>
          <w:sz w:val="16"/>
          <w:szCs w:val="16"/>
          <w:lang w:val="es-ES" w:eastAsia="es-CO" w:bidi="ar-SA"/>
        </w:rPr>
      </w:pPr>
    </w:p>
    <w:p w:rsidR="000506D4" w:rsidRPr="00CD186B" w:rsidP="00BE660C" w14:paraId="24D7FA5A" w14:textId="77777777">
      <w:pPr>
        <w:pStyle w:val="ListParagraph"/>
        <w:ind w:left="0"/>
        <w:contextualSpacing/>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Las comisiones y participaciones de utilidades que pagará la reaseguradora a la entidad aseguradora, que estén establecidas en el contrato de reaseguro, no se tendrán en consideración al valorar las contingencias a cargo de las reaseguradoras.</w:t>
      </w:r>
    </w:p>
    <w:p w:rsidR="00BE660C" w:rsidRPr="00CD186B" w:rsidP="00BE660C" w14:paraId="0CAC1A87" w14:textId="77777777">
      <w:pPr>
        <w:pStyle w:val="ListParagraph"/>
        <w:ind w:left="0"/>
        <w:contextualSpacing/>
        <w:jc w:val="both"/>
        <w:rPr>
          <w:rFonts w:ascii="Arial" w:eastAsia="Times New Roman" w:hAnsi="Arial" w:cs="Arial"/>
          <w:sz w:val="16"/>
          <w:szCs w:val="16"/>
          <w:lang w:val="es-ES" w:eastAsia="es-CO" w:bidi="ar-SA"/>
        </w:rPr>
      </w:pPr>
    </w:p>
    <w:p w:rsidR="000506D4" w:rsidRPr="00CD186B" w:rsidP="00BE660C" w14:paraId="418259A0" w14:textId="77777777">
      <w:pPr>
        <w:pStyle w:val="ListParagraph"/>
        <w:ind w:left="0"/>
        <w:contextualSpacing/>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2.2.7.1.1.6. Fundamentarse en la estimación del valor esperado de la pérdida por incumplimiento por parte de la reaseguradora.</w:t>
      </w:r>
      <w:r w:rsidRPr="00CD186B">
        <w:rPr>
          <w:rFonts w:ascii="Arial" w:eastAsia="Times New Roman" w:hAnsi="Arial" w:cs="Arial"/>
          <w:sz w:val="16"/>
          <w:szCs w:val="16"/>
          <w:lang w:val="es-ES" w:eastAsia="es-CO" w:bidi="ar-SA"/>
        </w:rPr>
        <w:t xml:space="preserve"> </w:t>
      </w:r>
      <w:r w:rsidRPr="00CD186B">
        <w:rPr>
          <w:rFonts w:ascii="Arial" w:eastAsia="Times New Roman" w:hAnsi="Arial" w:cs="Arial"/>
          <w:sz w:val="16"/>
          <w:szCs w:val="16"/>
          <w:lang w:val="es-ES" w:eastAsia="es-CO" w:bidi="ar-SA"/>
        </w:rPr>
        <w:t>La metodología debe contemplar diferencias entre distintas calificaciones de fortaleza financiera de la reaseguradora, así como aquellas características del numeral 1.6.2.1.5. consideradas relevantes por la entidad aseguradora para la celebración del contrato de reaseguro.</w:t>
      </w:r>
    </w:p>
    <w:p w:rsidR="000506D4" w:rsidRPr="00CD186B" w:rsidP="00BE660C" w14:paraId="40B52BE3" w14:textId="77777777">
      <w:pPr>
        <w:pStyle w:val="ListParagraph"/>
        <w:ind w:left="0"/>
        <w:contextualSpacing/>
        <w:jc w:val="both"/>
        <w:rPr>
          <w:rFonts w:ascii="Arial" w:eastAsia="Times New Roman" w:hAnsi="Arial" w:cs="Arial"/>
          <w:sz w:val="16"/>
          <w:szCs w:val="16"/>
          <w:lang w:val="es-ES" w:eastAsia="es-CO" w:bidi="ar-SA"/>
        </w:rPr>
      </w:pPr>
    </w:p>
    <w:p w:rsidR="000506D4" w:rsidRPr="00CD186B" w:rsidP="00BE660C" w14:paraId="0161785D" w14:textId="77777777">
      <w:pPr>
        <w:pStyle w:val="ListParagraph"/>
        <w:ind w:left="0"/>
        <w:contextualSpacing/>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 xml:space="preserve">2.2.7.1.1.7. La cuantía del deterioro del valor del activo por contingencias a cargo de reaseguradoras cuando se evidencie un cambio en la calificación de fortaleza financiera o variaciones en la pérdida dado el incumplimiento. </w:t>
      </w:r>
    </w:p>
    <w:p w:rsidR="000506D4" w:rsidRPr="00CD186B" w:rsidP="00BE660C" w14:paraId="1353338C" w14:textId="77777777">
      <w:pPr>
        <w:pStyle w:val="ListParagraph"/>
        <w:ind w:left="0"/>
        <w:contextualSpacing/>
        <w:jc w:val="both"/>
        <w:rPr>
          <w:rFonts w:ascii="Arial" w:eastAsia="Times New Roman" w:hAnsi="Arial" w:cs="Arial"/>
          <w:sz w:val="16"/>
          <w:szCs w:val="16"/>
          <w:lang w:val="es-ES" w:eastAsia="es-CO" w:bidi="ar-SA"/>
        </w:rPr>
      </w:pPr>
    </w:p>
    <w:p w:rsidR="000506D4" w:rsidRPr="00CD186B" w:rsidP="00BE660C" w14:paraId="79ED3855" w14:textId="77777777">
      <w:pPr>
        <w:pStyle w:val="ListParagraph"/>
        <w:ind w:left="0"/>
        <w:contextualSpacing/>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2.2.7.2. Revisión de la valoración del activo</w:t>
      </w:r>
    </w:p>
    <w:p w:rsidR="000506D4" w:rsidRPr="00CD186B" w:rsidP="00BE660C" w14:paraId="1C96FC3F" w14:textId="77777777">
      <w:pPr>
        <w:pStyle w:val="ListParagraph"/>
        <w:ind w:left="0"/>
        <w:contextualSpacing/>
        <w:jc w:val="both"/>
        <w:rPr>
          <w:rFonts w:ascii="Arial" w:eastAsia="Times New Roman" w:hAnsi="Arial" w:cs="Arial"/>
          <w:sz w:val="16"/>
          <w:szCs w:val="16"/>
          <w:lang w:val="es-ES" w:eastAsia="es-CO" w:bidi="ar-SA"/>
        </w:rPr>
      </w:pPr>
    </w:p>
    <w:p w:rsidR="000506D4" w:rsidRPr="00CD186B" w:rsidP="00BE660C" w14:paraId="6757B335" w14:textId="77777777">
      <w:pPr>
        <w:pStyle w:val="ListParagraph"/>
        <w:ind w:left="0"/>
        <w:contextualSpacing/>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La revisión del valor del activo correspondiente a las contingencias a cargo de reaseguradoras debe considerar aspectos tales como vencimientos de los contratos de reaseguros o modificaciones a los mismos, cambios en la calificación de fortaleza financiera del reasegurador, los antecedentes en la ejecución de los contratos de reaseguro y demás circunstancias que consideren que puedan afectar la capacidad de pago de cada reaseguradora.</w:t>
      </w:r>
    </w:p>
    <w:p w:rsidR="000506D4" w:rsidRPr="00CD186B" w:rsidP="00BE660C" w14:paraId="2A82EC8B" w14:textId="77777777">
      <w:pPr>
        <w:pStyle w:val="ListParagraph"/>
        <w:ind w:left="0"/>
        <w:contextualSpacing/>
        <w:jc w:val="both"/>
        <w:rPr>
          <w:rFonts w:ascii="Arial" w:eastAsia="Times New Roman" w:hAnsi="Arial" w:cs="Arial"/>
          <w:sz w:val="16"/>
          <w:szCs w:val="16"/>
          <w:lang w:val="es-ES" w:eastAsia="es-CO" w:bidi="ar-SA"/>
        </w:rPr>
      </w:pPr>
    </w:p>
    <w:p w:rsidR="000506D4" w:rsidRPr="00CD186B" w:rsidP="00BE660C" w14:paraId="7BB966BC" w14:textId="77777777">
      <w:pPr>
        <w:pStyle w:val="ListParagraph"/>
        <w:ind w:left="0"/>
        <w:contextualSpacing/>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En caso de que la mencionada revisión lo justifique, la entidad aseguradora debe modificar contablemente el valor del activo por contingencias a cargo del reasegurador. En todo caso, la totalidad de las reservas técnicas, netas del activo por contingencias a cargo de reaseguradoras, deben estar invertidas de acuerdo con las instrucciones del Título 3 del Libro 31 de la Parte 2 del Decreto 2555 de 2010.</w:t>
      </w:r>
    </w:p>
    <w:p w:rsidR="000506D4" w:rsidRPr="00CD186B" w:rsidP="00BE660C" w14:paraId="12A73D20" w14:textId="77777777">
      <w:pPr>
        <w:pStyle w:val="ListParagraph"/>
        <w:ind w:left="0"/>
        <w:contextualSpacing/>
        <w:jc w:val="both"/>
        <w:rPr>
          <w:rFonts w:ascii="Arial" w:eastAsia="Times New Roman" w:hAnsi="Arial" w:cs="Arial"/>
          <w:sz w:val="16"/>
          <w:szCs w:val="16"/>
          <w:lang w:val="es-ES" w:eastAsia="es-CO" w:bidi="ar-SA"/>
        </w:rPr>
      </w:pPr>
    </w:p>
    <w:p w:rsidR="00B4422B" w:rsidP="7DE704E8" w14:paraId="34E0ADCC" w14:textId="77777777">
      <w:pPr>
        <w:pStyle w:val="ListParagraph"/>
        <w:pBdr>
          <w:left w:val="single" w:sz="4" w:space="4" w:color="auto"/>
        </w:pBdr>
        <w:ind w:left="0"/>
        <w:contextualSpacing/>
        <w:jc w:val="both"/>
        <w:rPr>
          <w:rFonts w:ascii="Arial" w:eastAsia="Times New Roman" w:hAnsi="Arial" w:cs="Arial"/>
          <w:b/>
          <w:bCs/>
          <w:sz w:val="16"/>
          <w:szCs w:val="16"/>
          <w:lang w:val="es-ES" w:eastAsia="es-CO" w:bidi="ar-SA"/>
        </w:rPr>
      </w:pPr>
      <w:r w:rsidRPr="7DE704E8">
        <w:rPr>
          <w:rFonts w:ascii="Arial" w:eastAsia="Times New Roman" w:hAnsi="Arial" w:cs="Arial"/>
          <w:b/>
          <w:bCs/>
          <w:sz w:val="16"/>
          <w:szCs w:val="16"/>
          <w:lang w:val="es-ES" w:eastAsia="es-CO" w:bidi="ar-SA"/>
        </w:rPr>
        <w:t xml:space="preserve">2.2.8. </w:t>
      </w:r>
      <w:r w:rsidRPr="7DE704E8" w:rsidR="00982FEE">
        <w:rPr>
          <w:rFonts w:ascii="Arial" w:eastAsia="Times New Roman" w:hAnsi="Arial" w:cs="Arial"/>
          <w:b/>
          <w:bCs/>
          <w:sz w:val="16"/>
          <w:szCs w:val="16"/>
          <w:lang w:val="es-ES" w:eastAsia="es-CO" w:bidi="ar-SA"/>
        </w:rPr>
        <w:t>Proceso de</w:t>
      </w:r>
      <w:r w:rsidRPr="7DE704E8">
        <w:rPr>
          <w:rFonts w:ascii="Arial" w:eastAsia="Times New Roman" w:hAnsi="Arial" w:cs="Arial"/>
          <w:b/>
          <w:bCs/>
          <w:sz w:val="16"/>
          <w:szCs w:val="16"/>
          <w:lang w:val="es-ES" w:eastAsia="es-CO" w:bidi="ar-SA"/>
        </w:rPr>
        <w:t xml:space="preserve"> inversión </w:t>
      </w:r>
      <w:r w:rsidRPr="7DE704E8" w:rsidR="00456ADE">
        <w:rPr>
          <w:rFonts w:ascii="Arial" w:eastAsia="Times New Roman" w:hAnsi="Arial" w:cs="Arial"/>
          <w:b/>
          <w:bCs/>
          <w:sz w:val="16"/>
          <w:szCs w:val="16"/>
          <w:lang w:val="es-ES" w:eastAsia="es-CO" w:bidi="ar-SA"/>
        </w:rPr>
        <w:t xml:space="preserve">y gestión de las inversiones que respaldan </w:t>
      </w:r>
      <w:r w:rsidRPr="7DE704E8">
        <w:rPr>
          <w:rFonts w:ascii="Arial" w:eastAsia="Times New Roman" w:hAnsi="Arial" w:cs="Arial"/>
          <w:b/>
          <w:bCs/>
          <w:sz w:val="16"/>
          <w:szCs w:val="16"/>
          <w:lang w:val="es-ES" w:eastAsia="es-CO" w:bidi="ar-SA"/>
        </w:rPr>
        <w:t>las reservas técnicas</w:t>
      </w:r>
    </w:p>
    <w:p w:rsidR="00B4422B" w:rsidP="7DE704E8" w14:paraId="2A78354A" w14:textId="77777777">
      <w:pPr>
        <w:pStyle w:val="ListParagraph"/>
        <w:pBdr>
          <w:left w:val="single" w:sz="4" w:space="4" w:color="auto"/>
        </w:pBdr>
        <w:ind w:left="0"/>
        <w:contextualSpacing/>
        <w:jc w:val="both"/>
        <w:rPr>
          <w:rFonts w:ascii="Arial" w:eastAsia="Times New Roman" w:hAnsi="Arial" w:cs="Arial"/>
          <w:b/>
          <w:bCs/>
          <w:sz w:val="16"/>
          <w:szCs w:val="16"/>
          <w:lang w:val="es-ES" w:eastAsia="es-CO" w:bidi="ar-SA"/>
        </w:rPr>
      </w:pPr>
    </w:p>
    <w:p w:rsidR="00EB5288" w:rsidP="7DE704E8" w14:paraId="60A12AFA" w14:textId="60B99F73">
      <w:pPr>
        <w:pStyle w:val="ListParagraph"/>
        <w:pBdr>
          <w:left w:val="single" w:sz="4" w:space="4" w:color="auto"/>
        </w:pBdr>
        <w:ind w:left="0"/>
        <w:contextualSpacing/>
        <w:jc w:val="both"/>
        <w:rPr>
          <w:rFonts w:ascii="Arial" w:eastAsia="Times New Roman" w:hAnsi="Arial" w:cs="Arial"/>
          <w:b/>
          <w:bCs/>
          <w:sz w:val="16"/>
          <w:szCs w:val="16"/>
          <w:lang w:val="es-ES" w:eastAsia="es-CO" w:bidi="ar-SA"/>
        </w:rPr>
      </w:pPr>
      <w:r w:rsidRPr="009A6FA3">
        <w:rPr>
          <w:rFonts w:ascii="Arial" w:eastAsia="Times New Roman" w:hAnsi="Arial" w:cs="Arial"/>
          <w:b/>
          <w:sz w:val="16"/>
          <w:szCs w:val="16"/>
          <w:lang w:val="es-CO" w:eastAsia="es-CO" w:bidi="ar-SA"/>
        </w:rPr>
        <w:t xml:space="preserve">Corresponde a la junta directiva de </w:t>
      </w:r>
      <w:r w:rsidR="00895B52">
        <w:rPr>
          <w:rFonts w:ascii="Arial" w:eastAsia="Times New Roman" w:hAnsi="Arial" w:cs="Arial"/>
          <w:b/>
          <w:sz w:val="16"/>
          <w:szCs w:val="16"/>
          <w:lang w:val="es-CO" w:eastAsia="es-CO" w:bidi="ar-SA"/>
        </w:rPr>
        <w:t xml:space="preserve">las </w:t>
      </w:r>
      <w:r w:rsidRPr="56E9C333" w:rsidR="00B4422B">
        <w:rPr>
          <w:rFonts w:ascii="Arial" w:eastAsia="Times New Roman" w:hAnsi="Arial" w:cs="Arial"/>
          <w:b/>
          <w:bCs/>
          <w:sz w:val="16"/>
          <w:szCs w:val="16"/>
          <w:lang w:val="es-ES" w:eastAsia="es-CO" w:bidi="ar-SA"/>
        </w:rPr>
        <w:t>entidades aseguradoras adoptar una política de inversión</w:t>
      </w:r>
      <w:r w:rsidR="00993BBD">
        <w:rPr>
          <w:rFonts w:ascii="Arial" w:eastAsia="Times New Roman" w:hAnsi="Arial" w:cs="Arial"/>
          <w:b/>
          <w:bCs/>
          <w:sz w:val="16"/>
          <w:szCs w:val="16"/>
          <w:lang w:val="es-ES" w:eastAsia="es-CO" w:bidi="ar-SA"/>
        </w:rPr>
        <w:t>,</w:t>
      </w:r>
      <w:r w:rsidRPr="56E9C333" w:rsidR="00B4422B">
        <w:rPr>
          <w:rFonts w:ascii="Arial" w:eastAsia="Times New Roman" w:hAnsi="Arial" w:cs="Arial"/>
          <w:b/>
          <w:bCs/>
          <w:sz w:val="16"/>
          <w:szCs w:val="16"/>
          <w:lang w:val="es-ES" w:eastAsia="es-CO" w:bidi="ar-SA"/>
        </w:rPr>
        <w:t xml:space="preserve"> </w:t>
      </w:r>
      <w:r w:rsidRPr="56E9C333" w:rsidR="008D2A7F">
        <w:rPr>
          <w:rFonts w:ascii="Arial" w:eastAsia="Times New Roman" w:hAnsi="Arial" w:cs="Arial"/>
          <w:b/>
          <w:bCs/>
          <w:sz w:val="16"/>
          <w:szCs w:val="16"/>
          <w:lang w:val="es-ES" w:eastAsia="es-CO" w:bidi="ar-SA"/>
        </w:rPr>
        <w:t>conforme a</w:t>
      </w:r>
      <w:r w:rsidRPr="56E9C333" w:rsidR="00B4422B">
        <w:rPr>
          <w:rFonts w:ascii="Arial" w:eastAsia="Times New Roman" w:hAnsi="Arial" w:cs="Arial"/>
          <w:b/>
          <w:bCs/>
          <w:sz w:val="16"/>
          <w:szCs w:val="16"/>
          <w:lang w:val="es-ES" w:eastAsia="es-CO" w:bidi="ar-SA"/>
        </w:rPr>
        <w:t xml:space="preserve">l </w:t>
      </w:r>
      <w:r w:rsidRPr="56E9C333" w:rsidR="00A77ED0">
        <w:rPr>
          <w:rFonts w:ascii="Arial" w:eastAsia="Times New Roman" w:hAnsi="Arial" w:cs="Arial"/>
          <w:b/>
          <w:bCs/>
          <w:sz w:val="16"/>
          <w:szCs w:val="16"/>
          <w:lang w:val="es-ES" w:eastAsia="es-CO" w:bidi="ar-SA"/>
        </w:rPr>
        <w:t>A</w:t>
      </w:r>
      <w:r w:rsidRPr="56E9C333" w:rsidR="00B4422B">
        <w:rPr>
          <w:rFonts w:ascii="Arial" w:eastAsia="Times New Roman" w:hAnsi="Arial" w:cs="Arial"/>
          <w:b/>
          <w:bCs/>
          <w:sz w:val="16"/>
          <w:szCs w:val="16"/>
          <w:lang w:val="es-ES" w:eastAsia="es-CO" w:bidi="ar-SA"/>
        </w:rPr>
        <w:t xml:space="preserve">nexo </w:t>
      </w:r>
      <w:r w:rsidRPr="56E9C333" w:rsidR="00A77ED0">
        <w:rPr>
          <w:rFonts w:ascii="Arial" w:eastAsia="Times New Roman" w:hAnsi="Arial" w:cs="Arial"/>
          <w:b/>
          <w:bCs/>
          <w:sz w:val="16"/>
          <w:szCs w:val="16"/>
          <w:lang w:val="es-ES" w:eastAsia="es-CO" w:bidi="ar-SA"/>
        </w:rPr>
        <w:t>1</w:t>
      </w:r>
      <w:r w:rsidR="003309B4">
        <w:rPr>
          <w:rFonts w:ascii="Arial" w:eastAsia="Times New Roman" w:hAnsi="Arial" w:cs="Arial"/>
          <w:b/>
          <w:bCs/>
          <w:sz w:val="16"/>
          <w:szCs w:val="16"/>
          <w:lang w:val="es-ES" w:eastAsia="es-CO" w:bidi="ar-SA"/>
        </w:rPr>
        <w:t>5</w:t>
      </w:r>
      <w:r w:rsidRPr="56E9C333" w:rsidR="00B4422B">
        <w:rPr>
          <w:rFonts w:ascii="Arial" w:eastAsia="Times New Roman" w:hAnsi="Arial" w:cs="Arial"/>
          <w:b/>
          <w:bCs/>
          <w:sz w:val="16"/>
          <w:szCs w:val="16"/>
          <w:lang w:val="es-ES" w:eastAsia="es-CO" w:bidi="ar-SA"/>
        </w:rPr>
        <w:t xml:space="preserve"> del presente Título</w:t>
      </w:r>
      <w:r w:rsidRPr="56E9C333" w:rsidR="008D643A">
        <w:rPr>
          <w:rFonts w:ascii="Arial" w:eastAsia="Times New Roman" w:hAnsi="Arial" w:cs="Arial"/>
          <w:b/>
          <w:bCs/>
          <w:sz w:val="16"/>
          <w:szCs w:val="16"/>
          <w:lang w:val="es-ES" w:eastAsia="es-CO" w:bidi="ar-SA"/>
        </w:rPr>
        <w:t xml:space="preserve">. </w:t>
      </w:r>
      <w:r w:rsidR="004440DF">
        <w:rPr>
          <w:rFonts w:ascii="Arial" w:eastAsia="Times New Roman" w:hAnsi="Arial" w:cs="Arial"/>
          <w:b/>
          <w:bCs/>
          <w:sz w:val="16"/>
          <w:szCs w:val="16"/>
          <w:lang w:val="es-ES" w:eastAsia="es-CO" w:bidi="ar-SA"/>
        </w:rPr>
        <w:t>L</w:t>
      </w:r>
      <w:r w:rsidRPr="56E9C333" w:rsidR="008D643A">
        <w:rPr>
          <w:rFonts w:ascii="Arial" w:eastAsia="Times New Roman" w:hAnsi="Arial" w:cs="Arial"/>
          <w:b/>
          <w:bCs/>
          <w:sz w:val="16"/>
          <w:szCs w:val="16"/>
          <w:lang w:val="es-ES" w:eastAsia="es-CO" w:bidi="ar-SA"/>
        </w:rPr>
        <w:t>a</w:t>
      </w:r>
      <w:r w:rsidRPr="56E9C333" w:rsidR="0020340C">
        <w:rPr>
          <w:rFonts w:ascii="Arial" w:eastAsia="Times New Roman" w:hAnsi="Arial" w:cs="Arial"/>
          <w:b/>
          <w:bCs/>
          <w:sz w:val="16"/>
          <w:szCs w:val="16"/>
          <w:lang w:val="es-ES" w:eastAsia="es-CO" w:bidi="ar-SA"/>
        </w:rPr>
        <w:t xml:space="preserve"> gesti</w:t>
      </w:r>
      <w:r w:rsidRPr="56E9C333" w:rsidR="008D643A">
        <w:rPr>
          <w:rFonts w:ascii="Arial" w:eastAsia="Times New Roman" w:hAnsi="Arial" w:cs="Arial"/>
          <w:b/>
          <w:bCs/>
          <w:sz w:val="16"/>
          <w:szCs w:val="16"/>
          <w:lang w:val="es-ES" w:eastAsia="es-CO" w:bidi="ar-SA"/>
        </w:rPr>
        <w:t xml:space="preserve">ón de las inversiones que respaldan las reservas técnicas deberá realizarse </w:t>
      </w:r>
      <w:r w:rsidRPr="56E9C333" w:rsidR="0020340C">
        <w:rPr>
          <w:rFonts w:ascii="Arial" w:eastAsia="Times New Roman" w:hAnsi="Arial" w:cs="Arial"/>
          <w:b/>
          <w:bCs/>
          <w:sz w:val="16"/>
          <w:szCs w:val="16"/>
          <w:lang w:val="es-ES" w:eastAsia="es-CO" w:bidi="ar-SA"/>
        </w:rPr>
        <w:t xml:space="preserve">de conformidad con las </w:t>
      </w:r>
      <w:r w:rsidR="004440DF">
        <w:rPr>
          <w:rFonts w:ascii="Arial" w:eastAsia="Times New Roman" w:hAnsi="Arial" w:cs="Arial"/>
          <w:b/>
          <w:bCs/>
          <w:sz w:val="16"/>
          <w:szCs w:val="16"/>
          <w:lang w:val="es-ES" w:eastAsia="es-CO" w:bidi="ar-SA"/>
        </w:rPr>
        <w:t>instrucciones señaladas a continuación y las contenidas en e</w:t>
      </w:r>
      <w:r w:rsidRPr="56E9C333" w:rsidR="008D643A">
        <w:rPr>
          <w:rFonts w:ascii="Arial" w:eastAsia="Times New Roman" w:hAnsi="Arial" w:cs="Arial"/>
          <w:b/>
          <w:bCs/>
          <w:sz w:val="16"/>
          <w:szCs w:val="16"/>
          <w:lang w:val="es-ES" w:eastAsia="es-CO" w:bidi="ar-SA"/>
        </w:rPr>
        <w:t xml:space="preserve">l referido </w:t>
      </w:r>
      <w:r w:rsidR="00993BBD">
        <w:rPr>
          <w:rFonts w:ascii="Arial" w:eastAsia="Times New Roman" w:hAnsi="Arial" w:cs="Arial"/>
          <w:b/>
          <w:bCs/>
          <w:sz w:val="16"/>
          <w:szCs w:val="16"/>
          <w:lang w:val="es-ES" w:eastAsia="es-CO" w:bidi="ar-SA"/>
        </w:rPr>
        <w:t>A</w:t>
      </w:r>
      <w:r w:rsidRPr="56E9C333" w:rsidR="008D643A">
        <w:rPr>
          <w:rFonts w:ascii="Arial" w:eastAsia="Times New Roman" w:hAnsi="Arial" w:cs="Arial"/>
          <w:b/>
          <w:bCs/>
          <w:sz w:val="16"/>
          <w:szCs w:val="16"/>
          <w:lang w:val="es-ES" w:eastAsia="es-CO" w:bidi="ar-SA"/>
        </w:rPr>
        <w:t>nexo</w:t>
      </w:r>
      <w:r w:rsidRPr="56E9C333" w:rsidR="0020340C">
        <w:rPr>
          <w:rFonts w:ascii="Arial" w:eastAsia="Times New Roman" w:hAnsi="Arial" w:cs="Arial"/>
          <w:b/>
          <w:bCs/>
          <w:sz w:val="16"/>
          <w:szCs w:val="16"/>
          <w:lang w:val="es-ES" w:eastAsia="es-CO" w:bidi="ar-SA"/>
        </w:rPr>
        <w:t>.</w:t>
      </w:r>
    </w:p>
    <w:p w:rsidR="00B4422B" w:rsidP="7DE704E8" w14:paraId="21FAA385" w14:textId="77777777">
      <w:pPr>
        <w:pStyle w:val="ListParagraph"/>
        <w:pBdr>
          <w:left w:val="single" w:sz="4" w:space="4" w:color="auto"/>
        </w:pBdr>
        <w:ind w:left="0"/>
        <w:contextualSpacing/>
        <w:jc w:val="both"/>
        <w:rPr>
          <w:rFonts w:ascii="Arial" w:eastAsia="Times New Roman" w:hAnsi="Arial" w:cs="Arial"/>
          <w:b/>
          <w:bCs/>
          <w:sz w:val="16"/>
          <w:szCs w:val="16"/>
          <w:lang w:val="es-ES" w:eastAsia="es-CO" w:bidi="ar-SA"/>
        </w:rPr>
      </w:pPr>
    </w:p>
    <w:p w:rsidR="00B4422B" w:rsidRPr="00EE2660" w:rsidP="7DE704E8" w14:paraId="275FF1F8" w14:textId="77777777">
      <w:pPr>
        <w:pStyle w:val="ListParagraph"/>
        <w:pBdr>
          <w:left w:val="single" w:sz="4" w:space="4" w:color="auto"/>
        </w:pBdr>
        <w:ind w:left="0"/>
        <w:contextualSpacing/>
        <w:jc w:val="both"/>
        <w:rPr>
          <w:rFonts w:ascii="Arial" w:eastAsia="Times New Roman" w:hAnsi="Arial" w:cs="Arial"/>
          <w:b/>
          <w:bCs/>
          <w:sz w:val="16"/>
          <w:szCs w:val="16"/>
          <w:lang w:val="es-ES" w:eastAsia="es-CO" w:bidi="ar-SA"/>
        </w:rPr>
      </w:pPr>
      <w:r w:rsidRPr="7DE704E8">
        <w:rPr>
          <w:rFonts w:ascii="Arial" w:eastAsia="Times New Roman" w:hAnsi="Arial" w:cs="Arial"/>
          <w:b/>
          <w:bCs/>
          <w:sz w:val="16"/>
          <w:szCs w:val="16"/>
          <w:lang w:val="es-ES" w:eastAsia="es-CO" w:bidi="ar-SA"/>
        </w:rPr>
        <w:t xml:space="preserve">2.2.9. </w:t>
      </w:r>
      <w:r w:rsidRPr="7DE704E8" w:rsidR="00383CB6">
        <w:rPr>
          <w:rFonts w:ascii="Arial" w:eastAsia="Times New Roman" w:hAnsi="Arial" w:cs="Arial"/>
          <w:b/>
          <w:bCs/>
          <w:sz w:val="16"/>
          <w:szCs w:val="16"/>
          <w:lang w:val="es-ES" w:eastAsia="es-CO" w:bidi="ar-SA"/>
        </w:rPr>
        <w:t>Control de límites de inversión</w:t>
      </w:r>
    </w:p>
    <w:p w:rsidR="000F171E" w:rsidRPr="00EE2660" w:rsidP="7DE704E8" w14:paraId="26D289F7" w14:textId="77777777">
      <w:pPr>
        <w:pStyle w:val="ListParagraph"/>
        <w:pBdr>
          <w:left w:val="single" w:sz="4" w:space="4" w:color="auto"/>
        </w:pBdr>
        <w:ind w:left="0"/>
        <w:contextualSpacing/>
        <w:jc w:val="both"/>
        <w:rPr>
          <w:rFonts w:ascii="Arial" w:eastAsia="Times New Roman" w:hAnsi="Arial" w:cs="Arial"/>
          <w:b/>
          <w:bCs/>
          <w:sz w:val="16"/>
          <w:szCs w:val="16"/>
          <w:lang w:val="es-ES" w:eastAsia="es-CO" w:bidi="ar-SA"/>
        </w:rPr>
      </w:pPr>
    </w:p>
    <w:p w:rsidR="000F171E" w:rsidRPr="00EE2660" w:rsidP="7DE704E8" w14:paraId="76039E85" w14:textId="77777777">
      <w:pPr>
        <w:pStyle w:val="ListParagraph"/>
        <w:pBdr>
          <w:left w:val="single" w:sz="4" w:space="4" w:color="auto"/>
        </w:pBdr>
        <w:ind w:left="0"/>
        <w:contextualSpacing/>
        <w:jc w:val="both"/>
        <w:rPr>
          <w:rFonts w:ascii="Arial" w:eastAsia="Times New Roman" w:hAnsi="Arial" w:cs="Arial"/>
          <w:b/>
          <w:bCs/>
          <w:sz w:val="16"/>
          <w:szCs w:val="16"/>
          <w:lang w:val="es-ES" w:eastAsia="es-CO" w:bidi="ar-SA"/>
        </w:rPr>
      </w:pPr>
      <w:r w:rsidRPr="7DE704E8">
        <w:rPr>
          <w:rFonts w:ascii="Arial" w:eastAsia="Times New Roman" w:hAnsi="Arial" w:cs="Arial"/>
          <w:b/>
          <w:bCs/>
          <w:sz w:val="16"/>
          <w:szCs w:val="16"/>
          <w:lang w:val="es-ES" w:eastAsia="es-CO" w:bidi="ar-SA"/>
        </w:rPr>
        <w:t xml:space="preserve">Las entidades aseguradoras deben adoptar procesos y mecanismos que les permitan realizar el control de los límites de inversión tanto </w:t>
      </w:r>
      <w:r w:rsidRPr="008945E4" w:rsidR="003B2AE7">
        <w:rPr>
          <w:rFonts w:ascii="Arial" w:eastAsia="Times New Roman" w:hAnsi="Arial" w:cs="Arial"/>
          <w:b/>
          <w:sz w:val="16"/>
          <w:szCs w:val="18"/>
          <w:lang w:val="es-ES" w:eastAsia="es-CO" w:bidi="ar-SA"/>
        </w:rPr>
        <w:t>internos</w:t>
      </w:r>
      <w:r w:rsidRPr="7DE704E8">
        <w:rPr>
          <w:rFonts w:ascii="Arial" w:eastAsia="Times New Roman" w:hAnsi="Arial" w:cs="Arial"/>
          <w:b/>
          <w:bCs/>
          <w:sz w:val="16"/>
          <w:szCs w:val="16"/>
          <w:lang w:val="es-ES" w:eastAsia="es-CO" w:bidi="ar-SA"/>
        </w:rPr>
        <w:t xml:space="preserve"> como legales, de manera que se dé cumplimiento a las disposiciones del artículo 2.31.3.1.1 </w:t>
      </w:r>
      <w:r w:rsidRPr="7DE704E8" w:rsidR="00EE2660">
        <w:rPr>
          <w:rFonts w:ascii="Arial" w:eastAsia="Times New Roman" w:hAnsi="Arial" w:cs="Arial"/>
          <w:b/>
          <w:bCs/>
          <w:sz w:val="16"/>
          <w:szCs w:val="16"/>
          <w:lang w:val="es-ES" w:eastAsia="es-CO" w:bidi="ar-SA"/>
        </w:rPr>
        <w:t xml:space="preserve">y siguientes </w:t>
      </w:r>
      <w:r w:rsidRPr="7DE704E8">
        <w:rPr>
          <w:rFonts w:ascii="Arial" w:eastAsia="Times New Roman" w:hAnsi="Arial" w:cs="Arial"/>
          <w:b/>
          <w:bCs/>
          <w:sz w:val="16"/>
          <w:szCs w:val="16"/>
          <w:lang w:val="es-ES" w:eastAsia="es-CO" w:bidi="ar-SA"/>
        </w:rPr>
        <w:t>del Decreto 2555 de 2010.</w:t>
      </w:r>
    </w:p>
    <w:p w:rsidR="00DE0577" w:rsidRPr="00EE2660" w:rsidP="7DE704E8" w14:paraId="03E553B3" w14:textId="77777777">
      <w:pPr>
        <w:pBdr>
          <w:left w:val="single" w:sz="4" w:space="4" w:color="auto"/>
        </w:pBdr>
        <w:jc w:val="left"/>
        <w:rPr>
          <w:rFonts w:ascii="Arial" w:eastAsia="Times New Roman" w:hAnsi="Arial" w:cs="Times New Roman"/>
          <w:b/>
          <w:bCs/>
          <w:sz w:val="16"/>
          <w:szCs w:val="16"/>
          <w:lang w:val="es-ES" w:eastAsia="es-CO" w:bidi="ar-SA"/>
        </w:rPr>
      </w:pPr>
    </w:p>
    <w:p w:rsidR="00EE2660" w:rsidRPr="00EE2660" w:rsidP="7DE704E8" w14:paraId="0FC8A56A" w14:textId="77777777">
      <w:pPr>
        <w:pBdr>
          <w:left w:val="single" w:sz="4" w:space="4" w:color="auto"/>
        </w:pBdr>
        <w:jc w:val="both"/>
        <w:rPr>
          <w:rFonts w:ascii="Arial" w:eastAsia="Times New Roman" w:hAnsi="Arial" w:cs="Times New Roman"/>
          <w:b/>
          <w:bCs/>
          <w:sz w:val="16"/>
          <w:szCs w:val="16"/>
          <w:lang w:val="es-ES" w:eastAsia="es-CO" w:bidi="ar-SA"/>
        </w:rPr>
      </w:pPr>
      <w:r w:rsidRPr="7DE704E8">
        <w:rPr>
          <w:rFonts w:ascii="Arial" w:eastAsia="Times New Roman" w:hAnsi="Arial" w:cs="Times New Roman"/>
          <w:b/>
          <w:bCs/>
          <w:sz w:val="16"/>
          <w:szCs w:val="16"/>
          <w:lang w:val="es-ES" w:eastAsia="es-CO" w:bidi="ar-SA"/>
        </w:rPr>
        <w:t>2.2.9.1. Control de los límites de inversiones restringidas</w:t>
      </w:r>
    </w:p>
    <w:p w:rsidR="00EE2660" w:rsidP="7DE704E8" w14:paraId="1F7E8D81" w14:textId="77777777">
      <w:pPr>
        <w:pBdr>
          <w:left w:val="single" w:sz="4" w:space="4" w:color="auto"/>
        </w:pBdr>
        <w:jc w:val="both"/>
        <w:rPr>
          <w:rFonts w:ascii="Arial" w:eastAsia="Times New Roman" w:hAnsi="Arial" w:cs="Times New Roman"/>
          <w:sz w:val="16"/>
          <w:szCs w:val="16"/>
          <w:lang w:val="es-ES" w:eastAsia="es-CO" w:bidi="ar-SA"/>
        </w:rPr>
      </w:pPr>
    </w:p>
    <w:p w:rsidR="00DE0577" w:rsidRPr="00BF4ADD" w:rsidP="7DE704E8" w14:paraId="7DBE0029" w14:textId="318A059C">
      <w:pPr>
        <w:pBdr>
          <w:left w:val="single" w:sz="4" w:space="4" w:color="auto"/>
        </w:pBdr>
        <w:jc w:val="both"/>
        <w:rPr>
          <w:rFonts w:ascii="Arial" w:eastAsia="Times New Roman" w:hAnsi="Arial" w:cs="Times New Roman"/>
          <w:b/>
          <w:bCs/>
          <w:sz w:val="16"/>
          <w:szCs w:val="16"/>
          <w:lang w:val="es-ES" w:eastAsia="es-CO" w:bidi="ar-SA"/>
        </w:rPr>
      </w:pPr>
      <w:r w:rsidRPr="7DE704E8">
        <w:rPr>
          <w:rFonts w:ascii="Arial" w:eastAsia="Times New Roman" w:hAnsi="Arial" w:cs="Times New Roman"/>
          <w:b/>
          <w:bCs/>
          <w:sz w:val="16"/>
          <w:szCs w:val="16"/>
          <w:lang w:val="es-ES" w:eastAsia="es-CO" w:bidi="ar-SA"/>
        </w:rPr>
        <w:t xml:space="preserve">Para el cumplimiento de los </w:t>
      </w:r>
      <w:r w:rsidRPr="7DE704E8" w:rsidR="2732661B">
        <w:rPr>
          <w:rFonts w:ascii="Arial" w:eastAsia="Times New Roman" w:hAnsi="Arial" w:cs="Times New Roman"/>
          <w:b/>
          <w:bCs/>
          <w:sz w:val="16"/>
          <w:szCs w:val="16"/>
          <w:lang w:val="es-ES" w:eastAsia="es-CO" w:bidi="ar-SA"/>
        </w:rPr>
        <w:t>límites</w:t>
      </w:r>
      <w:r w:rsidRPr="7DE704E8">
        <w:rPr>
          <w:rFonts w:ascii="Arial" w:eastAsia="Times New Roman" w:hAnsi="Arial" w:cs="Times New Roman"/>
          <w:b/>
          <w:bCs/>
          <w:sz w:val="16"/>
          <w:szCs w:val="16"/>
          <w:lang w:val="es-ES" w:eastAsia="es-CO" w:bidi="ar-SA"/>
        </w:rPr>
        <w:t xml:space="preserve"> establecidos </w:t>
      </w:r>
      <w:r w:rsidR="0052281E">
        <w:rPr>
          <w:rFonts w:ascii="Arial" w:eastAsia="Times New Roman" w:hAnsi="Arial" w:cs="Times New Roman"/>
          <w:b/>
          <w:bCs/>
          <w:sz w:val="16"/>
          <w:szCs w:val="16"/>
          <w:lang w:val="es-ES" w:eastAsia="es-CO" w:bidi="ar-SA"/>
        </w:rPr>
        <w:t>en</w:t>
      </w:r>
      <w:r w:rsidRPr="7DE704E8">
        <w:rPr>
          <w:rFonts w:ascii="Arial" w:eastAsia="Times New Roman" w:hAnsi="Arial" w:cs="Times New Roman"/>
          <w:b/>
          <w:bCs/>
          <w:sz w:val="16"/>
          <w:szCs w:val="16"/>
          <w:lang w:val="es-ES" w:eastAsia="es-CO" w:bidi="ar-SA"/>
        </w:rPr>
        <w:t xml:space="preserve"> las inversiones </w:t>
      </w:r>
      <w:r w:rsidRPr="7DE704E8" w:rsidR="002F744C">
        <w:rPr>
          <w:rFonts w:ascii="Arial" w:eastAsia="Times New Roman" w:hAnsi="Arial" w:cs="Times New Roman"/>
          <w:b/>
          <w:bCs/>
          <w:sz w:val="16"/>
          <w:szCs w:val="16"/>
          <w:lang w:val="es-ES" w:eastAsia="es-CO" w:bidi="ar-SA"/>
        </w:rPr>
        <w:t>que respaldan</w:t>
      </w:r>
      <w:r w:rsidRPr="7DE704E8" w:rsidR="00EE2660">
        <w:rPr>
          <w:rFonts w:ascii="Arial" w:eastAsia="Times New Roman" w:hAnsi="Arial" w:cs="Times New Roman"/>
          <w:b/>
          <w:bCs/>
          <w:sz w:val="16"/>
          <w:szCs w:val="16"/>
          <w:lang w:val="es-ES" w:eastAsia="es-CO" w:bidi="ar-SA"/>
        </w:rPr>
        <w:t xml:space="preserve"> las reservas técnicas</w:t>
      </w:r>
      <w:r w:rsidRPr="7DE704E8">
        <w:rPr>
          <w:rFonts w:ascii="Arial" w:eastAsia="Times New Roman" w:hAnsi="Arial" w:cs="Arial"/>
          <w:b/>
          <w:bCs/>
          <w:sz w:val="16"/>
          <w:szCs w:val="16"/>
          <w:lang w:val="es-ES" w:eastAsia="es-CO" w:bidi="ar-SA"/>
        </w:rPr>
        <w:t>,</w:t>
      </w:r>
      <w:r w:rsidRPr="7DE704E8">
        <w:rPr>
          <w:rFonts w:ascii="Arial" w:eastAsia="Times New Roman" w:hAnsi="Arial" w:cs="Times New Roman"/>
          <w:b/>
          <w:bCs/>
          <w:sz w:val="16"/>
          <w:szCs w:val="16"/>
          <w:lang w:val="es-ES" w:eastAsia="es-CO" w:bidi="ar-SA"/>
        </w:rPr>
        <w:t xml:space="preserve"> de que trata </w:t>
      </w:r>
      <w:r w:rsidR="000F4DD0">
        <w:rPr>
          <w:rFonts w:ascii="Arial" w:eastAsia="Times New Roman" w:hAnsi="Arial" w:cs="Times New Roman"/>
          <w:b/>
          <w:bCs/>
          <w:sz w:val="16"/>
          <w:szCs w:val="16"/>
          <w:lang w:val="es-ES" w:eastAsia="es-CO" w:bidi="ar-SA"/>
        </w:rPr>
        <w:t>e</w:t>
      </w:r>
      <w:r w:rsidRPr="7DE704E8">
        <w:rPr>
          <w:rFonts w:ascii="Arial" w:eastAsia="Times New Roman" w:hAnsi="Arial" w:cs="Times New Roman"/>
          <w:b/>
          <w:bCs/>
          <w:sz w:val="16"/>
          <w:szCs w:val="16"/>
          <w:lang w:val="es-ES" w:eastAsia="es-CO" w:bidi="ar-SA"/>
        </w:rPr>
        <w:t>l art</w:t>
      </w:r>
      <w:r w:rsidRPr="7DE704E8" w:rsidR="3D320B70">
        <w:rPr>
          <w:rFonts w:ascii="Arial" w:eastAsia="Times New Roman" w:hAnsi="Arial" w:cs="Times New Roman"/>
          <w:b/>
          <w:bCs/>
          <w:sz w:val="16"/>
          <w:szCs w:val="16"/>
          <w:lang w:val="es-ES" w:eastAsia="es-CO" w:bidi="ar-SA"/>
        </w:rPr>
        <w:t>ículo</w:t>
      </w:r>
      <w:r w:rsidRPr="7DE704E8" w:rsidR="00E97E26">
        <w:rPr>
          <w:rFonts w:ascii="Arial" w:eastAsia="Times New Roman" w:hAnsi="Arial" w:cs="Times New Roman"/>
          <w:b/>
          <w:bCs/>
          <w:sz w:val="16"/>
          <w:szCs w:val="16"/>
          <w:lang w:val="es-ES" w:eastAsia="es-CO" w:bidi="ar-SA"/>
        </w:rPr>
        <w:t xml:space="preserve"> 2.31.3.1.4 </w:t>
      </w:r>
      <w:r w:rsidRPr="7DE704E8">
        <w:rPr>
          <w:rFonts w:ascii="Arial" w:eastAsia="Times New Roman" w:hAnsi="Arial" w:cs="Times New Roman"/>
          <w:b/>
          <w:bCs/>
          <w:sz w:val="16"/>
          <w:szCs w:val="16"/>
          <w:lang w:val="es-ES" w:eastAsia="es-CO" w:bidi="ar-SA"/>
        </w:rPr>
        <w:t>del Decreto 2555 de 2010</w:t>
      </w:r>
      <w:r w:rsidR="00A26B34">
        <w:rPr>
          <w:rFonts w:ascii="Arial" w:eastAsia="Times New Roman" w:hAnsi="Arial" w:cs="Times New Roman"/>
          <w:b/>
          <w:bCs/>
          <w:sz w:val="16"/>
          <w:szCs w:val="16"/>
          <w:lang w:val="es-ES" w:eastAsia="es-CO" w:bidi="ar-SA"/>
        </w:rPr>
        <w:t xml:space="preserve"> </w:t>
      </w:r>
      <w:r w:rsidR="00A26B34">
        <w:rPr>
          <w:rFonts w:ascii="Arial" w:eastAsia="Times New Roman" w:hAnsi="Arial" w:cs="Arial"/>
          <w:b/>
          <w:sz w:val="16"/>
          <w:szCs w:val="16"/>
          <w:lang w:val="es-CO" w:eastAsia="es-CO" w:bidi="ar-SA"/>
        </w:rPr>
        <w:t>u otras disposiciones</w:t>
      </w:r>
      <w:r w:rsidRPr="7DE704E8">
        <w:rPr>
          <w:rFonts w:ascii="Arial" w:eastAsia="Times New Roman" w:hAnsi="Arial" w:cs="Times New Roman"/>
          <w:b/>
          <w:bCs/>
          <w:sz w:val="16"/>
          <w:szCs w:val="16"/>
          <w:lang w:val="es-ES" w:eastAsia="es-CO" w:bidi="ar-SA"/>
        </w:rPr>
        <w:t xml:space="preserve">, las </w:t>
      </w:r>
      <w:r w:rsidRPr="7DE704E8" w:rsidR="00E97E26">
        <w:rPr>
          <w:rFonts w:ascii="Arial" w:eastAsia="Times New Roman" w:hAnsi="Arial" w:cs="Times New Roman"/>
          <w:b/>
          <w:bCs/>
          <w:sz w:val="16"/>
          <w:szCs w:val="16"/>
          <w:lang w:val="es-ES" w:eastAsia="es-CO" w:bidi="ar-SA"/>
        </w:rPr>
        <w:t>entidades aseguradoras</w:t>
      </w:r>
      <w:r w:rsidR="000F4DD0">
        <w:rPr>
          <w:rFonts w:ascii="Arial" w:eastAsia="Times New Roman" w:hAnsi="Arial" w:cs="Times New Roman"/>
          <w:b/>
          <w:bCs/>
          <w:sz w:val="16"/>
          <w:szCs w:val="16"/>
          <w:lang w:val="es-ES" w:eastAsia="es-CO" w:bidi="ar-SA"/>
        </w:rPr>
        <w:t xml:space="preserve"> de vida</w:t>
      </w:r>
      <w:r w:rsidRPr="7DE704E8">
        <w:rPr>
          <w:rFonts w:ascii="Arial" w:eastAsia="Times New Roman" w:hAnsi="Arial" w:cs="Times New Roman"/>
          <w:b/>
          <w:bCs/>
          <w:sz w:val="16"/>
          <w:szCs w:val="16"/>
          <w:lang w:val="es-ES" w:eastAsia="es-CO" w:bidi="ar-SA"/>
        </w:rPr>
        <w:t xml:space="preserve"> deben mantener actualizada la información respecto de la exposición de los vehículos de inversión </w:t>
      </w:r>
      <w:r w:rsidR="00CD0663">
        <w:rPr>
          <w:rFonts w:ascii="Arial" w:eastAsia="Times New Roman" w:hAnsi="Arial" w:cs="Times New Roman"/>
          <w:b/>
          <w:bCs/>
          <w:sz w:val="16"/>
          <w:szCs w:val="16"/>
          <w:lang w:val="es-ES" w:eastAsia="es-CO" w:bidi="ar-SA"/>
        </w:rPr>
        <w:t>en</w:t>
      </w:r>
      <w:r w:rsidRPr="7DE704E8">
        <w:rPr>
          <w:rFonts w:ascii="Arial" w:eastAsia="Times New Roman" w:hAnsi="Arial" w:cs="Times New Roman"/>
          <w:b/>
          <w:bCs/>
          <w:sz w:val="16"/>
          <w:szCs w:val="16"/>
          <w:lang w:val="es-ES" w:eastAsia="es-CO" w:bidi="ar-SA"/>
        </w:rPr>
        <w:t xml:space="preserve"> activos considerados como inversiones restringidas.</w:t>
      </w:r>
      <w:r w:rsidR="007101E3">
        <w:rPr>
          <w:rFonts w:ascii="Arial" w:eastAsia="Times New Roman" w:hAnsi="Arial" w:cs="Times New Roman"/>
          <w:b/>
          <w:bCs/>
          <w:sz w:val="16"/>
          <w:szCs w:val="16"/>
          <w:lang w:val="es-ES" w:eastAsia="es-CO" w:bidi="ar-SA"/>
        </w:rPr>
        <w:t xml:space="preserve"> </w:t>
      </w:r>
      <w:r w:rsidRPr="7DE704E8">
        <w:rPr>
          <w:rFonts w:ascii="Arial" w:eastAsia="Times New Roman" w:hAnsi="Arial" w:cs="Times New Roman"/>
          <w:b/>
          <w:bCs/>
          <w:sz w:val="16"/>
          <w:szCs w:val="16"/>
          <w:lang w:val="es-ES" w:eastAsia="es-CO" w:bidi="ar-SA"/>
        </w:rPr>
        <w:t>Para el efecto, la</w:t>
      </w:r>
      <w:r w:rsidRPr="7DE704E8" w:rsidR="00BF4ADD">
        <w:rPr>
          <w:rFonts w:ascii="Arial" w:eastAsia="Times New Roman" w:hAnsi="Arial" w:cs="Times New Roman"/>
          <w:b/>
          <w:bCs/>
          <w:sz w:val="16"/>
          <w:szCs w:val="16"/>
          <w:lang w:val="es-ES" w:eastAsia="es-CO" w:bidi="ar-SA"/>
        </w:rPr>
        <w:t>s</w:t>
      </w:r>
      <w:r w:rsidRPr="7DE704E8">
        <w:rPr>
          <w:rFonts w:ascii="Arial" w:eastAsia="Times New Roman" w:hAnsi="Arial" w:cs="Times New Roman"/>
          <w:b/>
          <w:bCs/>
          <w:sz w:val="16"/>
          <w:szCs w:val="16"/>
          <w:lang w:val="es-ES" w:eastAsia="es-CO" w:bidi="ar-SA"/>
        </w:rPr>
        <w:t xml:space="preserve"> </w:t>
      </w:r>
      <w:r w:rsidRPr="7DE704E8" w:rsidR="00E97E26">
        <w:rPr>
          <w:rFonts w:ascii="Arial" w:eastAsia="Times New Roman" w:hAnsi="Arial" w:cs="Times New Roman"/>
          <w:b/>
          <w:bCs/>
          <w:sz w:val="16"/>
          <w:szCs w:val="16"/>
          <w:lang w:val="es-ES" w:eastAsia="es-CO" w:bidi="ar-SA"/>
        </w:rPr>
        <w:t>aseguradoras</w:t>
      </w:r>
      <w:r w:rsidR="000F4DD0">
        <w:rPr>
          <w:rFonts w:ascii="Arial" w:eastAsia="Times New Roman" w:hAnsi="Arial" w:cs="Times New Roman"/>
          <w:b/>
          <w:bCs/>
          <w:sz w:val="16"/>
          <w:szCs w:val="16"/>
          <w:lang w:val="es-ES" w:eastAsia="es-CO" w:bidi="ar-SA"/>
        </w:rPr>
        <w:t xml:space="preserve"> de vida</w:t>
      </w:r>
      <w:r w:rsidRPr="7DE704E8" w:rsidR="00E97E26">
        <w:rPr>
          <w:rFonts w:ascii="Arial" w:eastAsia="Times New Roman" w:hAnsi="Arial" w:cs="Times New Roman"/>
          <w:b/>
          <w:bCs/>
          <w:sz w:val="16"/>
          <w:szCs w:val="16"/>
          <w:lang w:val="es-ES" w:eastAsia="es-CO" w:bidi="ar-SA"/>
        </w:rPr>
        <w:t xml:space="preserve"> </w:t>
      </w:r>
      <w:r w:rsidRPr="7DE704E8">
        <w:rPr>
          <w:rFonts w:ascii="Arial" w:eastAsia="Times New Roman" w:hAnsi="Arial" w:cs="Times New Roman"/>
          <w:b/>
          <w:bCs/>
          <w:sz w:val="16"/>
          <w:szCs w:val="16"/>
          <w:lang w:val="es-ES" w:eastAsia="es-CO" w:bidi="ar-SA"/>
        </w:rPr>
        <w:t>podrá</w:t>
      </w:r>
      <w:r w:rsidRPr="7DE704E8" w:rsidR="00BF4ADD">
        <w:rPr>
          <w:rFonts w:ascii="Arial" w:eastAsia="Times New Roman" w:hAnsi="Arial" w:cs="Times New Roman"/>
          <w:b/>
          <w:bCs/>
          <w:sz w:val="16"/>
          <w:szCs w:val="16"/>
          <w:lang w:val="es-ES" w:eastAsia="es-CO" w:bidi="ar-SA"/>
        </w:rPr>
        <w:t>n</w:t>
      </w:r>
      <w:r w:rsidRPr="7DE704E8">
        <w:rPr>
          <w:rFonts w:ascii="Arial" w:eastAsia="Times New Roman" w:hAnsi="Arial" w:cs="Times New Roman"/>
          <w:b/>
          <w:bCs/>
          <w:sz w:val="16"/>
          <w:szCs w:val="16"/>
          <w:lang w:val="es-ES" w:eastAsia="es-CO" w:bidi="ar-SA"/>
        </w:rPr>
        <w:t xml:space="preserve"> implementar mecanismos para determinar la exposición real de los vehículos de inversión </w:t>
      </w:r>
      <w:r w:rsidR="00975F0F">
        <w:rPr>
          <w:rFonts w:ascii="Arial" w:eastAsia="Times New Roman" w:hAnsi="Arial" w:cs="Times New Roman"/>
          <w:b/>
          <w:bCs/>
          <w:sz w:val="16"/>
          <w:szCs w:val="16"/>
          <w:lang w:val="es-ES" w:eastAsia="es-CO" w:bidi="ar-SA"/>
        </w:rPr>
        <w:t>en</w:t>
      </w:r>
      <w:r w:rsidRPr="7DE704E8">
        <w:rPr>
          <w:rFonts w:ascii="Arial" w:eastAsia="Times New Roman" w:hAnsi="Arial" w:cs="Times New Roman"/>
          <w:b/>
          <w:bCs/>
          <w:sz w:val="16"/>
          <w:szCs w:val="16"/>
          <w:lang w:val="es-ES" w:eastAsia="es-CO" w:bidi="ar-SA"/>
        </w:rPr>
        <w:t xml:space="preserve"> inversiones restringidas, siempre que se cumplan las condiciones definidas en el subnumeral </w:t>
      </w:r>
      <w:r w:rsidRPr="7DE704E8" w:rsidR="00E97E26">
        <w:rPr>
          <w:rFonts w:ascii="Arial" w:eastAsia="Times New Roman" w:hAnsi="Arial" w:cs="Times New Roman"/>
          <w:b/>
          <w:bCs/>
          <w:sz w:val="16"/>
          <w:szCs w:val="16"/>
          <w:lang w:val="es-ES" w:eastAsia="es-CO" w:bidi="ar-SA"/>
        </w:rPr>
        <w:t>2</w:t>
      </w:r>
      <w:r w:rsidRPr="7DE704E8">
        <w:rPr>
          <w:rFonts w:ascii="Arial" w:eastAsia="Times New Roman" w:hAnsi="Arial" w:cs="Times New Roman"/>
          <w:b/>
          <w:bCs/>
          <w:sz w:val="16"/>
          <w:szCs w:val="16"/>
          <w:lang w:val="es-ES" w:eastAsia="es-CO" w:bidi="ar-SA"/>
        </w:rPr>
        <w:t>.</w:t>
      </w:r>
      <w:r w:rsidRPr="7DE704E8" w:rsidR="00E97E26">
        <w:rPr>
          <w:rFonts w:ascii="Arial" w:eastAsia="Times New Roman" w:hAnsi="Arial" w:cs="Times New Roman"/>
          <w:b/>
          <w:bCs/>
          <w:sz w:val="16"/>
          <w:szCs w:val="16"/>
          <w:lang w:val="es-ES" w:eastAsia="es-CO" w:bidi="ar-SA"/>
        </w:rPr>
        <w:t>2.9.</w:t>
      </w:r>
      <w:r w:rsidRPr="7DE704E8">
        <w:rPr>
          <w:rFonts w:ascii="Arial" w:eastAsia="Times New Roman" w:hAnsi="Arial" w:cs="Times New Roman"/>
          <w:b/>
          <w:bCs/>
          <w:sz w:val="16"/>
          <w:szCs w:val="16"/>
          <w:lang w:val="es-ES" w:eastAsia="es-CO" w:bidi="ar-SA"/>
        </w:rPr>
        <w:t>1</w:t>
      </w:r>
      <w:r w:rsidRPr="7DE704E8" w:rsidR="00E97E26">
        <w:rPr>
          <w:rFonts w:ascii="Arial" w:eastAsia="Times New Roman" w:hAnsi="Arial" w:cs="Times New Roman"/>
          <w:b/>
          <w:bCs/>
          <w:sz w:val="16"/>
          <w:szCs w:val="16"/>
          <w:lang w:val="es-ES" w:eastAsia="es-CO" w:bidi="ar-SA"/>
        </w:rPr>
        <w:t>.1</w:t>
      </w:r>
      <w:r w:rsidRPr="7DE704E8">
        <w:rPr>
          <w:rFonts w:ascii="Arial" w:eastAsia="Times New Roman" w:hAnsi="Arial" w:cs="Times New Roman"/>
          <w:b/>
          <w:bCs/>
          <w:sz w:val="16"/>
          <w:szCs w:val="16"/>
          <w:lang w:val="es-ES" w:eastAsia="es-CO" w:bidi="ar-SA"/>
        </w:rPr>
        <w:t xml:space="preserve"> del presente capítulo. En caso </w:t>
      </w:r>
      <w:r w:rsidR="00975F0F">
        <w:rPr>
          <w:rFonts w:ascii="Arial" w:eastAsia="Times New Roman" w:hAnsi="Arial" w:cs="Times New Roman"/>
          <w:b/>
          <w:bCs/>
          <w:sz w:val="16"/>
          <w:szCs w:val="16"/>
          <w:lang w:val="es-ES" w:eastAsia="es-CO" w:bidi="ar-SA"/>
        </w:rPr>
        <w:t>de que no</w:t>
      </w:r>
      <w:r w:rsidRPr="7DE704E8">
        <w:rPr>
          <w:rFonts w:ascii="Arial" w:eastAsia="Times New Roman" w:hAnsi="Arial" w:cs="Times New Roman"/>
          <w:b/>
          <w:bCs/>
          <w:sz w:val="16"/>
          <w:szCs w:val="16"/>
          <w:lang w:val="es-ES" w:eastAsia="es-CO" w:bidi="ar-SA"/>
        </w:rPr>
        <w:t xml:space="preserve"> pueda</w:t>
      </w:r>
      <w:r w:rsidRPr="7DE704E8" w:rsidR="00A32F3B">
        <w:rPr>
          <w:rFonts w:ascii="Arial" w:eastAsia="Times New Roman" w:hAnsi="Arial" w:cs="Times New Roman"/>
          <w:b/>
          <w:bCs/>
          <w:sz w:val="16"/>
          <w:szCs w:val="16"/>
          <w:lang w:val="es-ES" w:eastAsia="es-CO" w:bidi="ar-SA"/>
        </w:rPr>
        <w:t>n</w:t>
      </w:r>
      <w:r w:rsidRPr="7DE704E8">
        <w:rPr>
          <w:rFonts w:ascii="Arial" w:eastAsia="Times New Roman" w:hAnsi="Arial" w:cs="Times New Roman"/>
          <w:b/>
          <w:bCs/>
          <w:sz w:val="16"/>
          <w:szCs w:val="16"/>
          <w:lang w:val="es-ES" w:eastAsia="es-CO" w:bidi="ar-SA"/>
        </w:rPr>
        <w:t xml:space="preserve"> implementar </w:t>
      </w:r>
      <w:r w:rsidRPr="7DE704E8" w:rsidR="00A32F3B">
        <w:rPr>
          <w:rFonts w:ascii="Arial" w:eastAsia="Times New Roman" w:hAnsi="Arial" w:cs="Times New Roman"/>
          <w:b/>
          <w:bCs/>
          <w:sz w:val="16"/>
          <w:szCs w:val="16"/>
          <w:lang w:val="es-ES" w:eastAsia="es-CO" w:bidi="ar-SA"/>
        </w:rPr>
        <w:t xml:space="preserve">los </w:t>
      </w:r>
      <w:r w:rsidRPr="7DE704E8">
        <w:rPr>
          <w:rFonts w:ascii="Arial" w:eastAsia="Times New Roman" w:hAnsi="Arial" w:cs="Times New Roman"/>
          <w:b/>
          <w:bCs/>
          <w:sz w:val="16"/>
          <w:szCs w:val="16"/>
          <w:lang w:val="es-ES" w:eastAsia="es-CO" w:bidi="ar-SA"/>
        </w:rPr>
        <w:t>mecanismo</w:t>
      </w:r>
      <w:r w:rsidRPr="7DE704E8" w:rsidR="00A32F3B">
        <w:rPr>
          <w:rFonts w:ascii="Arial" w:eastAsia="Times New Roman" w:hAnsi="Arial" w:cs="Times New Roman"/>
          <w:b/>
          <w:bCs/>
          <w:sz w:val="16"/>
          <w:szCs w:val="16"/>
          <w:lang w:val="es-ES" w:eastAsia="es-CO" w:bidi="ar-SA"/>
        </w:rPr>
        <w:t>s</w:t>
      </w:r>
      <w:r w:rsidR="002A22D6">
        <w:rPr>
          <w:rFonts w:ascii="Arial" w:eastAsia="Times New Roman" w:hAnsi="Arial" w:cs="Times New Roman"/>
          <w:b/>
          <w:bCs/>
          <w:sz w:val="16"/>
          <w:szCs w:val="16"/>
          <w:lang w:val="es-ES" w:eastAsia="es-CO" w:bidi="ar-SA"/>
        </w:rPr>
        <w:t xml:space="preserve"> </w:t>
      </w:r>
      <w:r w:rsidRPr="7DE704E8">
        <w:rPr>
          <w:rFonts w:ascii="Arial" w:eastAsia="Times New Roman" w:hAnsi="Arial" w:cs="Times New Roman"/>
          <w:b/>
          <w:bCs/>
          <w:sz w:val="16"/>
          <w:szCs w:val="16"/>
          <w:lang w:val="es-ES" w:eastAsia="es-CO" w:bidi="ar-SA"/>
        </w:rPr>
        <w:t>para el c</w:t>
      </w:r>
      <w:r w:rsidR="00E02810">
        <w:rPr>
          <w:rFonts w:ascii="Arial" w:eastAsia="Times New Roman" w:hAnsi="Arial" w:cs="Times New Roman"/>
          <w:b/>
          <w:bCs/>
          <w:sz w:val="16"/>
          <w:szCs w:val="16"/>
          <w:lang w:val="es-ES" w:eastAsia="es-CO" w:bidi="ar-SA"/>
        </w:rPr>
        <w:t>ó</w:t>
      </w:r>
      <w:r w:rsidRPr="7DE704E8">
        <w:rPr>
          <w:rFonts w:ascii="Arial" w:eastAsia="Times New Roman" w:hAnsi="Arial" w:cs="Times New Roman"/>
          <w:b/>
          <w:bCs/>
          <w:sz w:val="16"/>
          <w:szCs w:val="16"/>
          <w:lang w:val="es-ES" w:eastAsia="es-CO" w:bidi="ar-SA"/>
        </w:rPr>
        <w:t xml:space="preserve">mputo de la exposición de los vehículos de inversión </w:t>
      </w:r>
      <w:r w:rsidR="00975F0F">
        <w:rPr>
          <w:rFonts w:ascii="Arial" w:eastAsia="Times New Roman" w:hAnsi="Arial" w:cs="Times New Roman"/>
          <w:b/>
          <w:bCs/>
          <w:sz w:val="16"/>
          <w:szCs w:val="16"/>
          <w:lang w:val="es-ES" w:eastAsia="es-CO" w:bidi="ar-SA"/>
        </w:rPr>
        <w:t>en</w:t>
      </w:r>
      <w:r w:rsidRPr="7DE704E8">
        <w:rPr>
          <w:rFonts w:ascii="Arial" w:eastAsia="Times New Roman" w:hAnsi="Arial" w:cs="Times New Roman"/>
          <w:b/>
          <w:bCs/>
          <w:sz w:val="16"/>
          <w:szCs w:val="16"/>
          <w:lang w:val="es-ES" w:eastAsia="es-CO" w:bidi="ar-SA"/>
        </w:rPr>
        <w:t xml:space="preserve"> activos considerados como inversiones restringidas</w:t>
      </w:r>
      <w:r w:rsidR="00975F0F">
        <w:rPr>
          <w:rFonts w:ascii="Arial" w:eastAsia="Times New Roman" w:hAnsi="Arial" w:cs="Times New Roman"/>
          <w:b/>
          <w:bCs/>
          <w:sz w:val="16"/>
          <w:szCs w:val="16"/>
          <w:lang w:val="es-ES" w:eastAsia="es-CO" w:bidi="ar-SA"/>
        </w:rPr>
        <w:t>,</w:t>
      </w:r>
      <w:r w:rsidRPr="7DE704E8">
        <w:rPr>
          <w:rFonts w:ascii="Arial" w:eastAsia="Times New Roman" w:hAnsi="Arial" w:cs="Times New Roman"/>
          <w:b/>
          <w:bCs/>
          <w:sz w:val="16"/>
          <w:szCs w:val="16"/>
          <w:lang w:val="es-ES" w:eastAsia="es-CO" w:bidi="ar-SA"/>
        </w:rPr>
        <w:t xml:space="preserve"> la</w:t>
      </w:r>
      <w:r w:rsidRPr="7DE704E8" w:rsidR="00E97E26">
        <w:rPr>
          <w:rFonts w:ascii="Arial" w:eastAsia="Times New Roman" w:hAnsi="Arial" w:cs="Times New Roman"/>
          <w:b/>
          <w:bCs/>
          <w:sz w:val="16"/>
          <w:szCs w:val="16"/>
          <w:lang w:val="es-ES" w:eastAsia="es-CO" w:bidi="ar-SA"/>
        </w:rPr>
        <w:t>s</w:t>
      </w:r>
      <w:r w:rsidRPr="7DE704E8">
        <w:rPr>
          <w:rFonts w:ascii="Arial" w:eastAsia="Times New Roman" w:hAnsi="Arial" w:cs="Times New Roman"/>
          <w:b/>
          <w:bCs/>
          <w:sz w:val="16"/>
          <w:szCs w:val="16"/>
          <w:lang w:val="es-ES" w:eastAsia="es-CO" w:bidi="ar-SA"/>
        </w:rPr>
        <w:t xml:space="preserve"> </w:t>
      </w:r>
      <w:r w:rsidRPr="7DE704E8" w:rsidR="00E97E26">
        <w:rPr>
          <w:rFonts w:ascii="Arial" w:eastAsia="Times New Roman" w:hAnsi="Arial" w:cs="Times New Roman"/>
          <w:b/>
          <w:bCs/>
          <w:sz w:val="16"/>
          <w:szCs w:val="16"/>
          <w:lang w:val="es-ES" w:eastAsia="es-CO" w:bidi="ar-SA"/>
        </w:rPr>
        <w:t>entidades aseguradoras</w:t>
      </w:r>
      <w:r w:rsidR="000F4DD0">
        <w:rPr>
          <w:rFonts w:ascii="Arial" w:eastAsia="Times New Roman" w:hAnsi="Arial" w:cs="Times New Roman"/>
          <w:b/>
          <w:bCs/>
          <w:sz w:val="16"/>
          <w:szCs w:val="16"/>
          <w:lang w:val="es-ES" w:eastAsia="es-CO" w:bidi="ar-SA"/>
        </w:rPr>
        <w:t xml:space="preserve"> de vida</w:t>
      </w:r>
      <w:r w:rsidRPr="7DE704E8">
        <w:rPr>
          <w:rFonts w:ascii="Arial" w:eastAsia="Times New Roman" w:hAnsi="Arial" w:cs="Times New Roman"/>
          <w:b/>
          <w:bCs/>
          <w:sz w:val="16"/>
          <w:szCs w:val="16"/>
          <w:lang w:val="es-ES" w:eastAsia="es-CO" w:bidi="ar-SA"/>
        </w:rPr>
        <w:t xml:space="preserve"> debe</w:t>
      </w:r>
      <w:r w:rsidRPr="7DE704E8" w:rsidR="00E97E26">
        <w:rPr>
          <w:rFonts w:ascii="Arial" w:eastAsia="Times New Roman" w:hAnsi="Arial" w:cs="Times New Roman"/>
          <w:b/>
          <w:bCs/>
          <w:sz w:val="16"/>
          <w:szCs w:val="16"/>
          <w:lang w:val="es-ES" w:eastAsia="es-CO" w:bidi="ar-SA"/>
        </w:rPr>
        <w:t>n</w:t>
      </w:r>
      <w:r w:rsidRPr="7DE704E8">
        <w:rPr>
          <w:rFonts w:ascii="Arial" w:eastAsia="Times New Roman" w:hAnsi="Arial" w:cs="Times New Roman"/>
          <w:b/>
          <w:bCs/>
          <w:sz w:val="16"/>
          <w:szCs w:val="16"/>
          <w:lang w:val="es-ES" w:eastAsia="es-CO" w:bidi="ar-SA"/>
        </w:rPr>
        <w:t xml:space="preserve"> tomar la máxima exposición permitida en este tipo de inversiones, según la política de inversión establecida en el reglamento del fondo de inversión colectiva o vehículo correspondiente.</w:t>
      </w:r>
    </w:p>
    <w:p w:rsidR="00DE0577" w:rsidRPr="00BF4ADD" w:rsidP="7DE704E8" w14:paraId="7D191788" w14:textId="77777777">
      <w:pPr>
        <w:pBdr>
          <w:left w:val="single" w:sz="4" w:space="4" w:color="auto"/>
        </w:pBdr>
        <w:jc w:val="both"/>
        <w:rPr>
          <w:rFonts w:ascii="Arial" w:eastAsia="Times New Roman" w:hAnsi="Arial" w:cs="Times New Roman"/>
          <w:b/>
          <w:bCs/>
          <w:sz w:val="16"/>
          <w:szCs w:val="16"/>
          <w:lang w:val="es-ES" w:eastAsia="es-CO" w:bidi="ar-SA"/>
        </w:rPr>
      </w:pPr>
    </w:p>
    <w:p w:rsidR="00DE0577" w:rsidP="00B01D15" w14:paraId="46A8B950" w14:textId="62BE7BAB">
      <w:pPr>
        <w:pBdr>
          <w:left w:val="single" w:sz="4" w:space="4" w:color="auto"/>
        </w:pBdr>
        <w:jc w:val="both"/>
        <w:rPr>
          <w:rFonts w:ascii="Arial" w:eastAsia="Times New Roman" w:hAnsi="Arial" w:cs="Times New Roman"/>
          <w:b/>
          <w:bCs/>
          <w:sz w:val="16"/>
          <w:szCs w:val="16"/>
          <w:lang w:val="es-ES" w:eastAsia="es-CO" w:bidi="ar-SA"/>
        </w:rPr>
      </w:pPr>
      <w:r w:rsidRPr="08E985ED">
        <w:rPr>
          <w:rFonts w:ascii="Arial" w:eastAsia="Times New Roman" w:hAnsi="Arial" w:cs="Times New Roman"/>
          <w:b/>
          <w:bCs/>
          <w:sz w:val="16"/>
          <w:szCs w:val="16"/>
          <w:lang w:val="es-ES" w:eastAsia="es-CO" w:bidi="ar-SA"/>
        </w:rPr>
        <w:t>Independientemente de la forma como la</w:t>
      </w:r>
      <w:r w:rsidRPr="08E985ED" w:rsidR="00E97E26">
        <w:rPr>
          <w:rFonts w:ascii="Arial" w:eastAsia="Times New Roman" w:hAnsi="Arial" w:cs="Times New Roman"/>
          <w:b/>
          <w:bCs/>
          <w:sz w:val="16"/>
          <w:szCs w:val="16"/>
          <w:lang w:val="es-ES" w:eastAsia="es-CO" w:bidi="ar-SA"/>
        </w:rPr>
        <w:t xml:space="preserve"> entidad aseguradora</w:t>
      </w:r>
      <w:r w:rsidR="000F4DD0">
        <w:rPr>
          <w:rFonts w:ascii="Arial" w:eastAsia="Times New Roman" w:hAnsi="Arial" w:cs="Times New Roman"/>
          <w:b/>
          <w:bCs/>
          <w:sz w:val="16"/>
          <w:szCs w:val="16"/>
          <w:lang w:val="es-ES" w:eastAsia="es-CO" w:bidi="ar-SA"/>
        </w:rPr>
        <w:t xml:space="preserve"> de vida</w:t>
      </w:r>
      <w:r w:rsidRPr="08E985ED">
        <w:rPr>
          <w:rFonts w:ascii="Arial" w:eastAsia="Times New Roman" w:hAnsi="Arial" w:cs="Times New Roman"/>
          <w:b/>
          <w:bCs/>
          <w:sz w:val="16"/>
          <w:szCs w:val="16"/>
          <w:lang w:val="es-ES" w:eastAsia="es-CO" w:bidi="ar-SA"/>
        </w:rPr>
        <w:t xml:space="preserve"> determine la exposición real de los vehículos de inversión </w:t>
      </w:r>
      <w:r w:rsidR="005C3B31">
        <w:rPr>
          <w:rFonts w:ascii="Arial" w:eastAsia="Times New Roman" w:hAnsi="Arial" w:cs="Times New Roman"/>
          <w:b/>
          <w:bCs/>
          <w:sz w:val="16"/>
          <w:szCs w:val="16"/>
          <w:lang w:val="es-ES" w:eastAsia="es-CO" w:bidi="ar-SA"/>
        </w:rPr>
        <w:t>en</w:t>
      </w:r>
      <w:r w:rsidRPr="08E985ED">
        <w:rPr>
          <w:rFonts w:ascii="Arial" w:eastAsia="Times New Roman" w:hAnsi="Arial" w:cs="Times New Roman"/>
          <w:b/>
          <w:bCs/>
          <w:sz w:val="16"/>
          <w:szCs w:val="16"/>
          <w:lang w:val="es-ES" w:eastAsia="es-CO" w:bidi="ar-SA"/>
        </w:rPr>
        <w:t xml:space="preserve"> las inversiones restringidas, debe adelantar una revisión periódica de la política de inversión establecida en el reglamento del fondo de inversión colectiva o vehículo correspondiente y de</w:t>
      </w:r>
      <w:r w:rsidR="001F47EB">
        <w:rPr>
          <w:rFonts w:ascii="Arial" w:eastAsia="Times New Roman" w:hAnsi="Arial" w:cs="Times New Roman"/>
          <w:b/>
          <w:bCs/>
          <w:sz w:val="16"/>
          <w:szCs w:val="16"/>
          <w:lang w:val="es-ES" w:eastAsia="es-CO" w:bidi="ar-SA"/>
        </w:rPr>
        <w:t xml:space="preserve">más </w:t>
      </w:r>
      <w:r w:rsidRPr="08E985ED">
        <w:rPr>
          <w:rFonts w:ascii="Arial" w:eastAsia="Times New Roman" w:hAnsi="Arial" w:cs="Times New Roman"/>
          <w:b/>
          <w:bCs/>
          <w:sz w:val="16"/>
          <w:szCs w:val="16"/>
          <w:lang w:val="es-ES" w:eastAsia="es-CO" w:bidi="ar-SA"/>
        </w:rPr>
        <w:t xml:space="preserve">información relevante para la </w:t>
      </w:r>
      <w:r w:rsidR="00B01D15">
        <w:rPr>
          <w:rFonts w:ascii="Arial" w:eastAsia="Times New Roman" w:hAnsi="Arial" w:cs="Times New Roman"/>
          <w:b/>
          <w:bCs/>
          <w:sz w:val="16"/>
          <w:szCs w:val="16"/>
          <w:lang w:val="es-ES" w:eastAsia="es-CO" w:bidi="ar-SA"/>
        </w:rPr>
        <w:t>determinación de la exposición.</w:t>
      </w:r>
    </w:p>
    <w:p w:rsidR="00B01D15" w:rsidP="00B01D15" w14:paraId="51DA041C" w14:textId="0EA6341A">
      <w:pPr>
        <w:pBdr>
          <w:left w:val="single" w:sz="4" w:space="4" w:color="auto"/>
        </w:pBdr>
        <w:jc w:val="both"/>
        <w:rPr>
          <w:rFonts w:ascii="Arial" w:eastAsia="Times New Roman" w:hAnsi="Arial" w:cs="Times New Roman"/>
          <w:b/>
          <w:bCs/>
          <w:sz w:val="16"/>
          <w:szCs w:val="16"/>
          <w:lang w:val="es-ES" w:eastAsia="es-CO" w:bidi="ar-SA"/>
        </w:rPr>
      </w:pPr>
    </w:p>
    <w:p w:rsidR="00DE0577" w:rsidRPr="00B01D15" w:rsidP="00B01D15" w14:paraId="33DC7C0A" w14:textId="77777777">
      <w:pPr>
        <w:pBdr>
          <w:left w:val="single" w:sz="4" w:space="4" w:color="auto"/>
        </w:pBdr>
        <w:jc w:val="both"/>
        <w:rPr>
          <w:rFonts w:ascii="Arial" w:eastAsia="Times New Roman" w:hAnsi="Arial" w:cs="Times New Roman"/>
          <w:b/>
          <w:bCs/>
          <w:sz w:val="16"/>
          <w:szCs w:val="16"/>
          <w:lang w:val="es-ES" w:eastAsia="es-CO" w:bidi="ar-SA"/>
        </w:rPr>
      </w:pPr>
      <w:r w:rsidRPr="00B01D15">
        <w:rPr>
          <w:rFonts w:ascii="Arial" w:eastAsia="Times New Roman" w:hAnsi="Arial" w:cs="Times New Roman"/>
          <w:b/>
          <w:bCs/>
          <w:sz w:val="16"/>
          <w:szCs w:val="16"/>
          <w:lang w:val="es-ES" w:eastAsia="es-CO" w:bidi="ar-SA"/>
        </w:rPr>
        <w:t>2.2.9.1.</w:t>
      </w:r>
      <w:r w:rsidRPr="00B01D15">
        <w:rPr>
          <w:rFonts w:ascii="Arial" w:eastAsia="Times New Roman" w:hAnsi="Arial" w:cs="Times New Roman"/>
          <w:b/>
          <w:bCs/>
          <w:sz w:val="16"/>
          <w:szCs w:val="16"/>
          <w:lang w:val="es-ES" w:eastAsia="es-CO" w:bidi="ar-SA"/>
        </w:rPr>
        <w:t>1</w:t>
      </w:r>
      <w:r w:rsidRPr="00B01D15">
        <w:rPr>
          <w:rFonts w:ascii="Arial" w:eastAsia="Times New Roman" w:hAnsi="Arial" w:cs="Times New Roman"/>
          <w:b/>
          <w:bCs/>
          <w:sz w:val="16"/>
          <w:szCs w:val="16"/>
          <w:lang w:val="es-ES" w:eastAsia="es-CO" w:bidi="ar-SA"/>
        </w:rPr>
        <w:t>.</w:t>
      </w:r>
      <w:r w:rsidRPr="00B01D15">
        <w:rPr>
          <w:rFonts w:ascii="Arial" w:eastAsia="Times New Roman" w:hAnsi="Arial" w:cs="Times New Roman"/>
          <w:b/>
          <w:bCs/>
          <w:sz w:val="16"/>
          <w:szCs w:val="16"/>
          <w:lang w:val="es-ES" w:eastAsia="es-CO" w:bidi="ar-SA"/>
        </w:rPr>
        <w:t xml:space="preserve"> </w:t>
      </w:r>
      <w:r w:rsidRPr="00B01D15">
        <w:rPr>
          <w:rFonts w:ascii="Arial" w:eastAsia="Times New Roman" w:hAnsi="Arial" w:cs="Times New Roman"/>
          <w:b/>
          <w:bCs/>
          <w:sz w:val="16"/>
          <w:szCs w:val="16"/>
          <w:lang w:val="es-ES" w:eastAsia="es-CO" w:bidi="ar-SA"/>
        </w:rPr>
        <w:t>Condiciones</w:t>
      </w:r>
      <w:r w:rsidRPr="00B01D15">
        <w:rPr>
          <w:rFonts w:ascii="Arial" w:eastAsia="Times New Roman" w:hAnsi="Arial" w:cs="Times New Roman"/>
          <w:b/>
          <w:bCs/>
          <w:sz w:val="16"/>
          <w:szCs w:val="16"/>
          <w:lang w:val="es-ES" w:eastAsia="es-CO" w:bidi="ar-SA"/>
        </w:rPr>
        <w:t xml:space="preserve"> </w:t>
      </w:r>
      <w:r w:rsidRPr="00B01D15">
        <w:rPr>
          <w:rFonts w:ascii="Arial" w:eastAsia="Times New Roman" w:hAnsi="Arial" w:cs="Times New Roman"/>
          <w:b/>
          <w:bCs/>
          <w:sz w:val="16"/>
          <w:szCs w:val="16"/>
          <w:lang w:val="es-ES" w:eastAsia="es-CO" w:bidi="ar-SA"/>
        </w:rPr>
        <w:t>de</w:t>
      </w:r>
      <w:r w:rsidRPr="00B01D15">
        <w:rPr>
          <w:rFonts w:ascii="Arial" w:eastAsia="Times New Roman" w:hAnsi="Arial" w:cs="Times New Roman"/>
          <w:b/>
          <w:bCs/>
          <w:sz w:val="16"/>
          <w:szCs w:val="16"/>
          <w:lang w:val="es-ES" w:eastAsia="es-CO" w:bidi="ar-SA"/>
        </w:rPr>
        <w:t xml:space="preserve"> </w:t>
      </w:r>
      <w:r w:rsidRPr="00B01D15">
        <w:rPr>
          <w:rFonts w:ascii="Arial" w:eastAsia="Times New Roman" w:hAnsi="Arial" w:cs="Times New Roman"/>
          <w:b/>
          <w:bCs/>
          <w:sz w:val="16"/>
          <w:szCs w:val="16"/>
          <w:lang w:val="es-ES" w:eastAsia="es-CO" w:bidi="ar-SA"/>
        </w:rPr>
        <w:t>los mecanismos para determinar la exposición real de los vehículos de inversión a las inversiones consideradas como restringidas</w:t>
      </w:r>
    </w:p>
    <w:p w:rsidR="00DE0577" w:rsidRPr="00B01D15" w:rsidP="7DE704E8" w14:paraId="2C8F6B9E" w14:textId="77777777">
      <w:pPr>
        <w:pBdr>
          <w:left w:val="single" w:sz="4" w:space="4" w:color="auto"/>
        </w:pBdr>
        <w:jc w:val="both"/>
        <w:rPr>
          <w:rFonts w:ascii="Arial" w:eastAsia="Times New Roman" w:hAnsi="Arial" w:cs="Times New Roman"/>
          <w:b/>
          <w:bCs/>
          <w:sz w:val="16"/>
          <w:szCs w:val="16"/>
          <w:lang w:val="es-ES" w:eastAsia="es-CO" w:bidi="ar-SA"/>
        </w:rPr>
      </w:pPr>
    </w:p>
    <w:p w:rsidR="00DE0577" w:rsidRPr="00BF4ADD" w:rsidP="7DE704E8" w14:paraId="196D6F98" w14:textId="49201C73">
      <w:pPr>
        <w:pBdr>
          <w:left w:val="single" w:sz="4" w:space="4" w:color="auto"/>
        </w:pBdr>
        <w:jc w:val="both"/>
        <w:rPr>
          <w:rFonts w:ascii="Arial" w:eastAsia="Times New Roman" w:hAnsi="Arial" w:cs="Times New Roman"/>
          <w:b/>
          <w:bCs/>
          <w:sz w:val="16"/>
          <w:szCs w:val="16"/>
          <w:lang w:val="es-ES" w:eastAsia="es-CO" w:bidi="ar-SA"/>
        </w:rPr>
      </w:pPr>
      <w:r w:rsidRPr="17A9E194">
        <w:rPr>
          <w:rFonts w:ascii="Arial" w:eastAsia="Times New Roman" w:hAnsi="Arial" w:cs="Times New Roman"/>
          <w:b/>
          <w:bCs/>
          <w:sz w:val="16"/>
          <w:szCs w:val="16"/>
          <w:lang w:val="es-ES" w:eastAsia="es-CO" w:bidi="ar-SA"/>
        </w:rPr>
        <w:t>2.2.9.1.1.1</w:t>
      </w:r>
      <w:r w:rsidRPr="17A9E194">
        <w:rPr>
          <w:rFonts w:ascii="Arial" w:eastAsia="Times New Roman" w:hAnsi="Arial" w:cs="Times New Roman"/>
          <w:b/>
          <w:bCs/>
          <w:sz w:val="16"/>
          <w:szCs w:val="16"/>
          <w:lang w:val="es-ES" w:eastAsia="es-CO" w:bidi="ar-SA"/>
        </w:rPr>
        <w:t xml:space="preserve">. </w:t>
      </w:r>
      <w:r w:rsidR="00A4150B">
        <w:rPr>
          <w:rFonts w:ascii="Arial" w:eastAsia="Times New Roman" w:hAnsi="Arial" w:cs="Times New Roman"/>
          <w:b/>
          <w:bCs/>
          <w:sz w:val="16"/>
          <w:szCs w:val="16"/>
          <w:lang w:val="es-ES" w:eastAsia="es-CO" w:bidi="ar-SA"/>
        </w:rPr>
        <w:t>I</w:t>
      </w:r>
      <w:r w:rsidRPr="17A9E194">
        <w:rPr>
          <w:rFonts w:ascii="Arial" w:eastAsia="Times New Roman" w:hAnsi="Arial" w:cs="Times New Roman"/>
          <w:b/>
          <w:bCs/>
          <w:sz w:val="16"/>
          <w:szCs w:val="16"/>
          <w:lang w:val="es-ES" w:eastAsia="es-CO" w:bidi="ar-SA"/>
        </w:rPr>
        <w:t xml:space="preserve">nformación actualizada. </w:t>
      </w:r>
      <w:r w:rsidRPr="17A9E194" w:rsidR="0098622C">
        <w:rPr>
          <w:rFonts w:ascii="Arial" w:eastAsia="Times New Roman" w:hAnsi="Arial" w:cs="Times New Roman"/>
          <w:b/>
          <w:bCs/>
          <w:sz w:val="16"/>
          <w:szCs w:val="16"/>
          <w:lang w:val="es-ES" w:eastAsia="es-CO" w:bidi="ar-SA"/>
        </w:rPr>
        <w:t xml:space="preserve">En caso de contar con información actualizada, bien sea por certificaciones expedidas por el administrador del vehículo de inversión o por los mecanismos contractuales dispuestos para la divulgación de la estructura de sus activos, </w:t>
      </w:r>
      <w:r w:rsidRPr="17A9E194" w:rsidR="17448E38">
        <w:rPr>
          <w:rFonts w:ascii="Arial" w:eastAsia="Times New Roman" w:hAnsi="Arial" w:cs="Times New Roman"/>
          <w:b/>
          <w:bCs/>
          <w:sz w:val="16"/>
          <w:szCs w:val="16"/>
          <w:lang w:val="es-ES" w:eastAsia="es-CO" w:bidi="ar-SA"/>
        </w:rPr>
        <w:t>la entidad aseguradora</w:t>
      </w:r>
      <w:r w:rsidR="000F4DD0">
        <w:rPr>
          <w:rFonts w:ascii="Arial" w:eastAsia="Times New Roman" w:hAnsi="Arial" w:cs="Times New Roman"/>
          <w:b/>
          <w:bCs/>
          <w:sz w:val="16"/>
          <w:szCs w:val="16"/>
          <w:lang w:val="es-ES" w:eastAsia="es-CO" w:bidi="ar-SA"/>
        </w:rPr>
        <w:t xml:space="preserve"> de vida</w:t>
      </w:r>
      <w:r w:rsidRPr="17A9E194" w:rsidR="0098622C">
        <w:rPr>
          <w:rFonts w:ascii="Arial" w:eastAsia="Times New Roman" w:hAnsi="Arial" w:cs="Times New Roman"/>
          <w:b/>
          <w:bCs/>
          <w:sz w:val="16"/>
          <w:szCs w:val="16"/>
          <w:lang w:val="es-ES" w:eastAsia="es-CO" w:bidi="ar-SA"/>
        </w:rPr>
        <w:t xml:space="preserve"> debe realizar el cálculo de su exposición basad</w:t>
      </w:r>
      <w:r w:rsidR="00723708">
        <w:rPr>
          <w:rFonts w:ascii="Arial" w:eastAsia="Times New Roman" w:hAnsi="Arial" w:cs="Times New Roman"/>
          <w:b/>
          <w:bCs/>
          <w:sz w:val="16"/>
          <w:szCs w:val="16"/>
          <w:lang w:val="es-ES" w:eastAsia="es-CO" w:bidi="ar-SA"/>
        </w:rPr>
        <w:t>a</w:t>
      </w:r>
      <w:r w:rsidRPr="17A9E194" w:rsidR="0098622C">
        <w:rPr>
          <w:rFonts w:ascii="Arial" w:eastAsia="Times New Roman" w:hAnsi="Arial" w:cs="Times New Roman"/>
          <w:b/>
          <w:bCs/>
          <w:sz w:val="16"/>
          <w:szCs w:val="16"/>
          <w:lang w:val="es-ES" w:eastAsia="es-CO" w:bidi="ar-SA"/>
        </w:rPr>
        <w:t xml:space="preserve"> en esta información, ponderado por el porcentaje de participación </w:t>
      </w:r>
      <w:r w:rsidRPr="17A9E194" w:rsidR="4D1DBF23">
        <w:rPr>
          <w:rFonts w:ascii="Arial" w:eastAsia="Times New Roman" w:hAnsi="Arial" w:cs="Times New Roman"/>
          <w:b/>
          <w:bCs/>
          <w:sz w:val="16"/>
          <w:szCs w:val="16"/>
          <w:lang w:val="es-ES" w:eastAsia="es-CO" w:bidi="ar-SA"/>
        </w:rPr>
        <w:t>de</w:t>
      </w:r>
      <w:r w:rsidRPr="17A9E194" w:rsidR="3BACCA81">
        <w:rPr>
          <w:rFonts w:ascii="Arial" w:eastAsia="Times New Roman" w:hAnsi="Arial" w:cs="Times New Roman"/>
          <w:b/>
          <w:bCs/>
          <w:sz w:val="16"/>
          <w:szCs w:val="16"/>
          <w:lang w:val="es-ES" w:eastAsia="es-CO" w:bidi="ar-SA"/>
        </w:rPr>
        <w:t xml:space="preserve"> la entidad </w:t>
      </w:r>
      <w:r w:rsidRPr="17A9E194" w:rsidR="0098622C">
        <w:rPr>
          <w:rFonts w:ascii="Arial" w:eastAsia="Times New Roman" w:hAnsi="Arial" w:cs="Times New Roman"/>
          <w:b/>
          <w:bCs/>
          <w:sz w:val="16"/>
          <w:szCs w:val="16"/>
          <w:lang w:val="es-ES" w:eastAsia="es-CO" w:bidi="ar-SA"/>
        </w:rPr>
        <w:t>en el respectivo vehículo.</w:t>
      </w:r>
      <w:r w:rsidR="007101E3">
        <w:rPr>
          <w:rFonts w:ascii="Arial" w:eastAsia="Times New Roman" w:hAnsi="Arial" w:cs="Times New Roman"/>
          <w:b/>
          <w:bCs/>
          <w:sz w:val="16"/>
          <w:szCs w:val="16"/>
          <w:lang w:val="es-ES" w:eastAsia="es-CO" w:bidi="ar-SA"/>
        </w:rPr>
        <w:t xml:space="preserve"> </w:t>
      </w:r>
      <w:r w:rsidRPr="527A6024">
        <w:rPr>
          <w:rFonts w:ascii="Arial" w:eastAsia="Times New Roman" w:hAnsi="Arial" w:cs="Times New Roman"/>
          <w:b/>
          <w:bCs/>
          <w:sz w:val="16"/>
          <w:szCs w:val="16"/>
          <w:lang w:val="es-ES" w:eastAsia="es-CO" w:bidi="ar-SA"/>
        </w:rPr>
        <w:t xml:space="preserve">Se entiende por información actualizada aquella publicada por </w:t>
      </w:r>
      <w:r w:rsidRPr="527A6024" w:rsidR="000C1AB8">
        <w:rPr>
          <w:rFonts w:ascii="Arial" w:eastAsia="Times New Roman" w:hAnsi="Arial" w:cs="Times New Roman"/>
          <w:b/>
          <w:bCs/>
          <w:sz w:val="16"/>
          <w:szCs w:val="16"/>
          <w:lang w:val="es-ES" w:eastAsia="es-CO" w:bidi="ar-SA"/>
        </w:rPr>
        <w:t xml:space="preserve">la sociedad administradora o gestor </w:t>
      </w:r>
      <w:r w:rsidRPr="527A6024">
        <w:rPr>
          <w:rFonts w:ascii="Arial" w:eastAsia="Times New Roman" w:hAnsi="Arial" w:cs="Times New Roman"/>
          <w:b/>
          <w:bCs/>
          <w:sz w:val="16"/>
          <w:szCs w:val="16"/>
          <w:lang w:val="es-ES" w:eastAsia="es-CO" w:bidi="ar-SA"/>
        </w:rPr>
        <w:t xml:space="preserve">del vehículo de inversión o conocida por la </w:t>
      </w:r>
      <w:r w:rsidRPr="527A6024">
        <w:rPr>
          <w:rFonts w:ascii="Arial" w:eastAsia="Times New Roman" w:hAnsi="Arial" w:cs="Times New Roman"/>
          <w:b/>
          <w:bCs/>
          <w:sz w:val="16"/>
          <w:szCs w:val="16"/>
          <w:lang w:val="es-ES" w:eastAsia="es-CO" w:bidi="ar-SA"/>
        </w:rPr>
        <w:t>entidad aseguradora</w:t>
      </w:r>
      <w:r w:rsidRPr="527A6024">
        <w:rPr>
          <w:rFonts w:ascii="Arial" w:eastAsia="Times New Roman" w:hAnsi="Arial" w:cs="Times New Roman"/>
          <w:b/>
          <w:bCs/>
          <w:sz w:val="16"/>
          <w:szCs w:val="16"/>
          <w:lang w:val="es-ES" w:eastAsia="es-CO" w:bidi="ar-SA"/>
        </w:rPr>
        <w:t xml:space="preserve"> </w:t>
      </w:r>
      <w:r w:rsidR="000F4DD0">
        <w:rPr>
          <w:rFonts w:ascii="Arial" w:eastAsia="Times New Roman" w:hAnsi="Arial" w:cs="Times New Roman"/>
          <w:b/>
          <w:bCs/>
          <w:sz w:val="16"/>
          <w:szCs w:val="16"/>
          <w:lang w:val="es-ES" w:eastAsia="es-CO" w:bidi="ar-SA"/>
        </w:rPr>
        <w:t xml:space="preserve">de vida </w:t>
      </w:r>
      <w:r w:rsidRPr="527A6024" w:rsidR="00792ABE">
        <w:rPr>
          <w:rFonts w:ascii="Arial" w:eastAsia="Times New Roman" w:hAnsi="Arial" w:cs="Times New Roman"/>
          <w:b/>
          <w:bCs/>
          <w:sz w:val="16"/>
          <w:szCs w:val="16"/>
          <w:lang w:val="es-ES" w:eastAsia="es-CO" w:bidi="ar-SA"/>
        </w:rPr>
        <w:t>en</w:t>
      </w:r>
      <w:r w:rsidRPr="527A6024">
        <w:rPr>
          <w:rFonts w:ascii="Arial" w:eastAsia="Times New Roman" w:hAnsi="Arial" w:cs="Times New Roman"/>
          <w:b/>
          <w:bCs/>
          <w:sz w:val="16"/>
          <w:szCs w:val="16"/>
          <w:lang w:val="es-ES" w:eastAsia="es-CO" w:bidi="ar-SA"/>
        </w:rPr>
        <w:t xml:space="preserve"> los</w:t>
      </w:r>
      <w:r w:rsidRPr="527A6024" w:rsidR="00792ABE">
        <w:rPr>
          <w:rFonts w:ascii="Arial" w:eastAsia="Times New Roman" w:hAnsi="Arial" w:cs="Times New Roman"/>
          <w:b/>
          <w:bCs/>
          <w:sz w:val="16"/>
          <w:szCs w:val="16"/>
          <w:lang w:val="es-ES" w:eastAsia="es-CO" w:bidi="ar-SA"/>
        </w:rPr>
        <w:t xml:space="preserve"> últimos</w:t>
      </w:r>
      <w:r w:rsidRPr="527A6024">
        <w:rPr>
          <w:rFonts w:ascii="Arial" w:eastAsia="Times New Roman" w:hAnsi="Arial" w:cs="Times New Roman"/>
          <w:b/>
          <w:bCs/>
          <w:sz w:val="16"/>
          <w:szCs w:val="16"/>
          <w:lang w:val="es-ES" w:eastAsia="es-CO" w:bidi="ar-SA"/>
        </w:rPr>
        <w:t xml:space="preserve"> </w:t>
      </w:r>
      <w:r w:rsidR="000F4DD0">
        <w:rPr>
          <w:rFonts w:ascii="Arial" w:eastAsia="Times New Roman" w:hAnsi="Arial" w:cs="Times New Roman"/>
          <w:b/>
          <w:bCs/>
          <w:sz w:val="16"/>
          <w:szCs w:val="16"/>
          <w:lang w:val="es-ES" w:eastAsia="es-CO" w:bidi="ar-SA"/>
        </w:rPr>
        <w:t>3</w:t>
      </w:r>
      <w:r w:rsidRPr="527A6024">
        <w:rPr>
          <w:rFonts w:ascii="Arial" w:eastAsia="Times New Roman" w:hAnsi="Arial" w:cs="Times New Roman"/>
          <w:b/>
          <w:bCs/>
          <w:sz w:val="16"/>
          <w:szCs w:val="16"/>
          <w:lang w:val="es-ES" w:eastAsia="es-CO" w:bidi="ar-SA"/>
        </w:rPr>
        <w:t xml:space="preserve"> meses</w:t>
      </w:r>
      <w:r w:rsidRPr="527A6024" w:rsidR="00792ABE">
        <w:rPr>
          <w:rFonts w:ascii="Arial" w:eastAsia="Times New Roman" w:hAnsi="Arial" w:cs="Times New Roman"/>
          <w:b/>
          <w:bCs/>
          <w:sz w:val="16"/>
          <w:szCs w:val="16"/>
          <w:lang w:val="es-ES" w:eastAsia="es-CO" w:bidi="ar-SA"/>
        </w:rPr>
        <w:t>.</w:t>
      </w:r>
    </w:p>
    <w:p w:rsidR="00DE0577" w:rsidRPr="00BF4ADD" w:rsidP="7DE704E8" w14:paraId="165ED1BE" w14:textId="77777777">
      <w:pPr>
        <w:pBdr>
          <w:left w:val="single" w:sz="4" w:space="4" w:color="auto"/>
        </w:pBdr>
        <w:jc w:val="both"/>
        <w:rPr>
          <w:rFonts w:ascii="Arial" w:eastAsia="Times New Roman" w:hAnsi="Arial" w:cs="Times New Roman"/>
          <w:b/>
          <w:bCs/>
          <w:sz w:val="16"/>
          <w:szCs w:val="16"/>
          <w:lang w:val="es-ES" w:eastAsia="es-CO" w:bidi="ar-SA"/>
        </w:rPr>
      </w:pPr>
    </w:p>
    <w:p w:rsidR="00DE0577" w:rsidRPr="00BF4ADD" w:rsidP="7DE704E8" w14:paraId="4EA1305A" w14:textId="77777777">
      <w:pPr>
        <w:pBdr>
          <w:left w:val="single" w:sz="4" w:space="4" w:color="auto"/>
        </w:pBdr>
        <w:jc w:val="both"/>
        <w:rPr>
          <w:rFonts w:ascii="Arial" w:eastAsia="Times New Roman" w:hAnsi="Arial" w:cs="Times New Roman"/>
          <w:b/>
          <w:bCs/>
          <w:sz w:val="16"/>
          <w:szCs w:val="16"/>
          <w:lang w:val="es-ES" w:eastAsia="es-CO" w:bidi="ar-SA"/>
        </w:rPr>
      </w:pPr>
      <w:r w:rsidRPr="527A6024">
        <w:rPr>
          <w:rFonts w:ascii="Arial" w:eastAsia="Times New Roman" w:hAnsi="Arial" w:cs="Times New Roman"/>
          <w:b/>
          <w:bCs/>
          <w:sz w:val="16"/>
          <w:szCs w:val="16"/>
          <w:lang w:val="es-ES" w:eastAsia="es-CO" w:bidi="ar-SA"/>
        </w:rPr>
        <w:t xml:space="preserve">2.2.9.1.1.2. </w:t>
      </w:r>
      <w:r w:rsidRPr="527A6024">
        <w:rPr>
          <w:rFonts w:ascii="Arial" w:eastAsia="Times New Roman" w:hAnsi="Arial" w:cs="Times New Roman"/>
          <w:b/>
          <w:bCs/>
          <w:sz w:val="16"/>
          <w:szCs w:val="16"/>
          <w:lang w:val="es-ES" w:eastAsia="es-CO" w:bidi="ar-SA"/>
        </w:rPr>
        <w:t xml:space="preserve">Con el fin de prever los movimientos en las composiciones de los </w:t>
      </w:r>
      <w:r w:rsidRPr="527A6024" w:rsidR="008D7926">
        <w:rPr>
          <w:rFonts w:ascii="Arial" w:eastAsia="Times New Roman" w:hAnsi="Arial" w:cs="Times New Roman"/>
          <w:b/>
          <w:bCs/>
          <w:sz w:val="16"/>
          <w:szCs w:val="16"/>
          <w:lang w:val="es-ES" w:eastAsia="es-CO" w:bidi="ar-SA"/>
        </w:rPr>
        <w:t>vehículos de inversión</w:t>
      </w:r>
      <w:r w:rsidRPr="527A6024">
        <w:rPr>
          <w:rFonts w:ascii="Arial" w:eastAsia="Times New Roman" w:hAnsi="Arial" w:cs="Times New Roman"/>
          <w:b/>
          <w:bCs/>
          <w:sz w:val="16"/>
          <w:szCs w:val="16"/>
          <w:lang w:val="es-ES" w:eastAsia="es-CO" w:bidi="ar-SA"/>
        </w:rPr>
        <w:t xml:space="preserve"> y su efecto en el cumplimiento de los límites de inversión internos y legales, el mecanismo para determinar la exposición debe incluir un supuesto que permita </w:t>
      </w:r>
      <w:r w:rsidRPr="527A6024" w:rsidR="005C683B">
        <w:rPr>
          <w:rFonts w:ascii="Arial" w:eastAsia="Times New Roman" w:hAnsi="Arial" w:cs="Times New Roman"/>
          <w:b/>
          <w:bCs/>
          <w:sz w:val="16"/>
          <w:szCs w:val="16"/>
          <w:lang w:val="es-ES" w:eastAsia="es-CO" w:bidi="ar-SA"/>
        </w:rPr>
        <w:t>re</w:t>
      </w:r>
      <w:r w:rsidRPr="527A6024" w:rsidR="00C91F3A">
        <w:rPr>
          <w:rFonts w:ascii="Arial" w:eastAsia="Times New Roman" w:hAnsi="Arial" w:cs="Times New Roman"/>
          <w:b/>
          <w:bCs/>
          <w:sz w:val="16"/>
          <w:szCs w:val="16"/>
          <w:lang w:val="es-ES" w:eastAsia="es-CO" w:bidi="ar-SA"/>
        </w:rPr>
        <w:t xml:space="preserve">alizar la mejor </w:t>
      </w:r>
      <w:r w:rsidRPr="527A6024">
        <w:rPr>
          <w:rFonts w:ascii="Arial" w:eastAsia="Times New Roman" w:hAnsi="Arial" w:cs="Times New Roman"/>
          <w:b/>
          <w:bCs/>
          <w:sz w:val="16"/>
          <w:szCs w:val="16"/>
          <w:lang w:val="es-ES" w:eastAsia="es-CO" w:bidi="ar-SA"/>
        </w:rPr>
        <w:t>estimación de la</w:t>
      </w:r>
      <w:r w:rsidRPr="527A6024" w:rsidR="00C5407C">
        <w:rPr>
          <w:rFonts w:ascii="Arial" w:eastAsia="Times New Roman" w:hAnsi="Arial" w:cs="Times New Roman"/>
          <w:b/>
          <w:bCs/>
          <w:sz w:val="16"/>
          <w:szCs w:val="16"/>
          <w:lang w:val="es-ES" w:eastAsia="es-CO" w:bidi="ar-SA"/>
        </w:rPr>
        <w:t xml:space="preserve"> </w:t>
      </w:r>
      <w:r w:rsidRPr="527A6024">
        <w:rPr>
          <w:rFonts w:ascii="Arial" w:eastAsia="Times New Roman" w:hAnsi="Arial" w:cs="Times New Roman"/>
          <w:b/>
          <w:bCs/>
          <w:sz w:val="16"/>
          <w:szCs w:val="16"/>
          <w:lang w:val="es-ES" w:eastAsia="es-CO" w:bidi="ar-SA"/>
        </w:rPr>
        <w:t>exposici</w:t>
      </w:r>
      <w:r w:rsidRPr="527A6024" w:rsidR="00C5407C">
        <w:rPr>
          <w:rFonts w:ascii="Arial" w:eastAsia="Times New Roman" w:hAnsi="Arial" w:cs="Times New Roman"/>
          <w:b/>
          <w:bCs/>
          <w:sz w:val="16"/>
          <w:szCs w:val="16"/>
          <w:lang w:val="es-ES" w:eastAsia="es-CO" w:bidi="ar-SA"/>
        </w:rPr>
        <w:t>ón real</w:t>
      </w:r>
      <w:r w:rsidRPr="527A6024">
        <w:rPr>
          <w:rFonts w:ascii="Arial" w:eastAsia="Times New Roman" w:hAnsi="Arial" w:cs="Times New Roman"/>
          <w:b/>
          <w:bCs/>
          <w:sz w:val="16"/>
          <w:szCs w:val="16"/>
          <w:lang w:val="es-ES" w:eastAsia="es-CO" w:bidi="ar-SA"/>
        </w:rPr>
        <w:t xml:space="preserve"> desde a la fecha de cálculo del control de los límites hasta la próxima fecha en la cual se dispone de información actualizada.  </w:t>
      </w:r>
    </w:p>
    <w:p w:rsidR="00DE0577" w:rsidRPr="00BF4ADD" w:rsidP="7DE704E8" w14:paraId="18C8CDBB" w14:textId="77777777">
      <w:pPr>
        <w:pBdr>
          <w:left w:val="single" w:sz="4" w:space="4" w:color="auto"/>
        </w:pBdr>
        <w:jc w:val="both"/>
        <w:rPr>
          <w:rFonts w:ascii="Arial" w:eastAsia="Times New Roman" w:hAnsi="Arial" w:cs="Times New Roman"/>
          <w:b/>
          <w:bCs/>
          <w:sz w:val="16"/>
          <w:szCs w:val="16"/>
          <w:lang w:val="es-ES" w:eastAsia="es-CO" w:bidi="ar-SA"/>
        </w:rPr>
      </w:pPr>
    </w:p>
    <w:p w:rsidR="00DE0577" w:rsidRPr="00BF4ADD" w:rsidP="7DE704E8" w14:paraId="6A893B06" w14:textId="7FBECE97">
      <w:pPr>
        <w:pBdr>
          <w:left w:val="single" w:sz="4" w:space="4" w:color="auto"/>
        </w:pBdr>
        <w:jc w:val="both"/>
        <w:rPr>
          <w:rFonts w:ascii="Arial" w:eastAsia="Times New Roman" w:hAnsi="Arial" w:cs="Times New Roman"/>
          <w:b/>
          <w:bCs/>
          <w:sz w:val="16"/>
          <w:szCs w:val="16"/>
          <w:lang w:val="es-ES" w:eastAsia="es-CO" w:bidi="ar-SA"/>
        </w:rPr>
      </w:pPr>
      <w:r w:rsidRPr="527A6024">
        <w:rPr>
          <w:rFonts w:ascii="Arial" w:eastAsia="Times New Roman" w:hAnsi="Arial" w:cs="Times New Roman"/>
          <w:b/>
          <w:bCs/>
          <w:sz w:val="16"/>
          <w:szCs w:val="16"/>
          <w:lang w:val="es-ES" w:eastAsia="es-CO" w:bidi="ar-SA"/>
        </w:rPr>
        <w:t>2.2.9.1.1.3.</w:t>
      </w:r>
      <w:r w:rsidRPr="527A6024">
        <w:rPr>
          <w:rFonts w:ascii="Arial" w:eastAsia="Times New Roman" w:hAnsi="Arial" w:cs="Times New Roman"/>
          <w:b/>
          <w:bCs/>
          <w:sz w:val="16"/>
          <w:szCs w:val="16"/>
          <w:lang w:val="es-ES" w:eastAsia="es-CO" w:bidi="ar-SA"/>
        </w:rPr>
        <w:t xml:space="preserve"> S</w:t>
      </w:r>
      <w:r w:rsidRPr="527A6024" w:rsidR="674AC21B">
        <w:rPr>
          <w:rFonts w:ascii="Arial" w:eastAsia="Times New Roman" w:hAnsi="Arial" w:cs="Times New Roman"/>
          <w:b/>
          <w:bCs/>
          <w:sz w:val="16"/>
          <w:szCs w:val="16"/>
          <w:lang w:val="es-ES" w:eastAsia="es-CO" w:bidi="ar-SA"/>
        </w:rPr>
        <w:t xml:space="preserve">er objeto de revisión </w:t>
      </w:r>
      <w:r w:rsidRPr="527A6024">
        <w:rPr>
          <w:rFonts w:ascii="Arial" w:eastAsia="Times New Roman" w:hAnsi="Arial" w:cs="Times New Roman"/>
          <w:b/>
          <w:bCs/>
          <w:sz w:val="16"/>
          <w:szCs w:val="16"/>
          <w:lang w:val="es-ES" w:eastAsia="es-CO" w:bidi="ar-SA"/>
        </w:rPr>
        <w:t>por parte de</w:t>
      </w:r>
      <w:r w:rsidR="0071415A">
        <w:rPr>
          <w:rFonts w:ascii="Arial" w:eastAsia="Times New Roman" w:hAnsi="Arial" w:cs="Times New Roman"/>
          <w:b/>
          <w:bCs/>
          <w:sz w:val="16"/>
          <w:szCs w:val="16"/>
          <w:lang w:val="es-ES" w:eastAsia="es-CO" w:bidi="ar-SA"/>
        </w:rPr>
        <w:t xml:space="preserve"> un área o comité designados por la misma política. </w:t>
      </w:r>
      <w:r w:rsidRPr="527A6024">
        <w:rPr>
          <w:rFonts w:ascii="Arial" w:eastAsia="Times New Roman" w:hAnsi="Arial" w:cs="Times New Roman"/>
          <w:b/>
          <w:bCs/>
          <w:sz w:val="16"/>
          <w:szCs w:val="16"/>
          <w:lang w:val="es-ES" w:eastAsia="es-CO" w:bidi="ar-SA"/>
        </w:rPr>
        <w:t xml:space="preserve">Los resultados de la aplicación de los mecanismos de que trata el presente subnumeral deben ser </w:t>
      </w:r>
      <w:r w:rsidRPr="527A6024" w:rsidR="004544FD">
        <w:rPr>
          <w:rFonts w:ascii="Arial" w:eastAsia="Times New Roman" w:hAnsi="Arial" w:cs="Times New Roman"/>
          <w:b/>
          <w:bCs/>
          <w:sz w:val="16"/>
          <w:szCs w:val="16"/>
          <w:lang w:val="es-ES" w:eastAsia="es-CO" w:bidi="ar-SA"/>
        </w:rPr>
        <w:t>objeto de seguimiento</w:t>
      </w:r>
      <w:r w:rsidRPr="527A6024">
        <w:rPr>
          <w:rFonts w:ascii="Arial" w:eastAsia="Times New Roman" w:hAnsi="Arial" w:cs="Times New Roman"/>
          <w:b/>
          <w:bCs/>
          <w:sz w:val="16"/>
          <w:szCs w:val="16"/>
          <w:lang w:val="es-ES" w:eastAsia="es-CO" w:bidi="ar-SA"/>
        </w:rPr>
        <w:t xml:space="preserve"> </w:t>
      </w:r>
      <w:r w:rsidR="004440DF">
        <w:rPr>
          <w:rFonts w:ascii="Arial" w:eastAsia="Times New Roman" w:hAnsi="Arial" w:cs="Times New Roman"/>
          <w:b/>
          <w:bCs/>
          <w:sz w:val="16"/>
          <w:szCs w:val="16"/>
          <w:lang w:val="es-ES" w:eastAsia="es-CO" w:bidi="ar-SA"/>
        </w:rPr>
        <w:t>trimestral</w:t>
      </w:r>
      <w:r w:rsidRPr="527A6024" w:rsidR="004544FD">
        <w:rPr>
          <w:rFonts w:ascii="Arial" w:eastAsia="Times New Roman" w:hAnsi="Arial" w:cs="Times New Roman"/>
          <w:b/>
          <w:bCs/>
          <w:sz w:val="16"/>
          <w:szCs w:val="16"/>
          <w:lang w:val="es-ES" w:eastAsia="es-CO" w:bidi="ar-SA"/>
        </w:rPr>
        <w:t xml:space="preserve"> por parte</w:t>
      </w:r>
      <w:r w:rsidRPr="527A6024">
        <w:rPr>
          <w:rFonts w:ascii="Arial" w:eastAsia="Times New Roman" w:hAnsi="Arial" w:cs="Times New Roman"/>
          <w:b/>
          <w:bCs/>
          <w:sz w:val="16"/>
          <w:szCs w:val="16"/>
          <w:lang w:val="es-ES" w:eastAsia="es-CO" w:bidi="ar-SA"/>
        </w:rPr>
        <w:t xml:space="preserve"> </w:t>
      </w:r>
      <w:r w:rsidRPr="527A6024" w:rsidR="004544FD">
        <w:rPr>
          <w:rFonts w:ascii="Arial" w:eastAsia="Times New Roman" w:hAnsi="Arial" w:cs="Times New Roman"/>
          <w:b/>
          <w:bCs/>
          <w:sz w:val="16"/>
          <w:szCs w:val="16"/>
          <w:lang w:val="es-ES" w:eastAsia="es-CO" w:bidi="ar-SA"/>
        </w:rPr>
        <w:t>d</w:t>
      </w:r>
      <w:r w:rsidRPr="527A6024">
        <w:rPr>
          <w:rFonts w:ascii="Arial" w:eastAsia="Times New Roman" w:hAnsi="Arial" w:cs="Times New Roman"/>
          <w:b/>
          <w:bCs/>
          <w:sz w:val="16"/>
          <w:szCs w:val="16"/>
          <w:lang w:val="es-ES" w:eastAsia="es-CO" w:bidi="ar-SA"/>
        </w:rPr>
        <w:t xml:space="preserve">e </w:t>
      </w:r>
      <w:r w:rsidR="0071415A">
        <w:rPr>
          <w:rFonts w:ascii="Arial" w:eastAsia="Times New Roman" w:hAnsi="Arial" w:cs="Times New Roman"/>
          <w:b/>
          <w:bCs/>
          <w:sz w:val="16"/>
          <w:szCs w:val="16"/>
          <w:lang w:val="es-ES" w:eastAsia="es-CO" w:bidi="ar-SA"/>
        </w:rPr>
        <w:t>un área o comité designados por la misma política</w:t>
      </w:r>
      <w:r w:rsidRPr="527A6024">
        <w:rPr>
          <w:rFonts w:ascii="Arial" w:eastAsia="Times New Roman" w:hAnsi="Arial" w:cs="Times New Roman"/>
          <w:b/>
          <w:bCs/>
          <w:sz w:val="16"/>
          <w:szCs w:val="16"/>
          <w:lang w:val="es-ES" w:eastAsia="es-CO" w:bidi="ar-SA"/>
        </w:rPr>
        <w:t>, de manera tal que este cumpl</w:t>
      </w:r>
      <w:r w:rsidRPr="527A6024" w:rsidR="00232CAB">
        <w:rPr>
          <w:rFonts w:ascii="Arial" w:eastAsia="Times New Roman" w:hAnsi="Arial" w:cs="Times New Roman"/>
          <w:b/>
          <w:bCs/>
          <w:sz w:val="16"/>
          <w:szCs w:val="16"/>
          <w:lang w:val="es-ES" w:eastAsia="es-CO" w:bidi="ar-SA"/>
        </w:rPr>
        <w:t xml:space="preserve">a </w:t>
      </w:r>
      <w:r w:rsidRPr="527A6024">
        <w:rPr>
          <w:rFonts w:ascii="Arial" w:eastAsia="Times New Roman" w:hAnsi="Arial" w:cs="Times New Roman"/>
          <w:b/>
          <w:bCs/>
          <w:sz w:val="16"/>
          <w:szCs w:val="16"/>
          <w:lang w:val="es-ES" w:eastAsia="es-CO" w:bidi="ar-SA"/>
        </w:rPr>
        <w:t xml:space="preserve">con su función de velar por el cumplimiento </w:t>
      </w:r>
      <w:r w:rsidRPr="527A6024" w:rsidR="3955851C">
        <w:rPr>
          <w:rFonts w:ascii="Arial" w:eastAsia="Times New Roman" w:hAnsi="Arial" w:cs="Times New Roman"/>
          <w:b/>
          <w:bCs/>
          <w:sz w:val="16"/>
          <w:szCs w:val="16"/>
          <w:lang w:val="es-ES" w:eastAsia="es-CO" w:bidi="ar-SA"/>
        </w:rPr>
        <w:t>de</w:t>
      </w:r>
      <w:r w:rsidRPr="527A6024">
        <w:rPr>
          <w:rFonts w:ascii="Arial" w:eastAsia="Times New Roman" w:hAnsi="Arial" w:cs="Times New Roman"/>
          <w:b/>
          <w:bCs/>
          <w:sz w:val="16"/>
          <w:szCs w:val="16"/>
          <w:lang w:val="es-ES" w:eastAsia="es-CO" w:bidi="ar-SA"/>
        </w:rPr>
        <w:t xml:space="preserve"> los l</w:t>
      </w:r>
      <w:r w:rsidRPr="527A6024" w:rsidR="00652BF0">
        <w:rPr>
          <w:rFonts w:ascii="Arial" w:eastAsia="Times New Roman" w:hAnsi="Arial" w:cs="Times New Roman"/>
          <w:b/>
          <w:bCs/>
          <w:sz w:val="16"/>
          <w:szCs w:val="16"/>
          <w:lang w:val="es-ES" w:eastAsia="es-CO" w:bidi="ar-SA"/>
        </w:rPr>
        <w:t>í</w:t>
      </w:r>
      <w:r w:rsidRPr="527A6024">
        <w:rPr>
          <w:rFonts w:ascii="Arial" w:eastAsia="Times New Roman" w:hAnsi="Arial" w:cs="Times New Roman"/>
          <w:b/>
          <w:bCs/>
          <w:sz w:val="16"/>
          <w:szCs w:val="16"/>
          <w:lang w:val="es-ES" w:eastAsia="es-CO" w:bidi="ar-SA"/>
        </w:rPr>
        <w:t>mites internos y legales</w:t>
      </w:r>
      <w:r w:rsidRPr="527A6024" w:rsidR="001E274F">
        <w:rPr>
          <w:rFonts w:ascii="Arial" w:eastAsia="Times New Roman" w:hAnsi="Arial" w:cs="Times New Roman"/>
          <w:b/>
          <w:bCs/>
          <w:sz w:val="16"/>
          <w:szCs w:val="16"/>
          <w:lang w:val="es-ES" w:eastAsia="es-CO" w:bidi="ar-SA"/>
        </w:rPr>
        <w:t>,</w:t>
      </w:r>
      <w:r w:rsidRPr="527A6024" w:rsidR="00CA6172">
        <w:rPr>
          <w:rFonts w:ascii="Arial" w:eastAsia="Times New Roman" w:hAnsi="Arial" w:cs="Times New Roman"/>
          <w:b/>
          <w:bCs/>
          <w:sz w:val="16"/>
          <w:szCs w:val="16"/>
          <w:lang w:val="es-ES" w:eastAsia="es-CO" w:bidi="ar-SA"/>
        </w:rPr>
        <w:t xml:space="preserve"> señalad</w:t>
      </w:r>
      <w:r w:rsidRPr="527A6024" w:rsidR="001E274F">
        <w:rPr>
          <w:rFonts w:ascii="Arial" w:eastAsia="Times New Roman" w:hAnsi="Arial" w:cs="Times New Roman"/>
          <w:b/>
          <w:bCs/>
          <w:sz w:val="16"/>
          <w:szCs w:val="16"/>
          <w:lang w:val="es-ES" w:eastAsia="es-CO" w:bidi="ar-SA"/>
        </w:rPr>
        <w:t>os</w:t>
      </w:r>
      <w:r w:rsidRPr="527A6024" w:rsidR="00CA6172">
        <w:rPr>
          <w:rFonts w:ascii="Arial" w:eastAsia="Times New Roman" w:hAnsi="Arial" w:cs="Times New Roman"/>
          <w:b/>
          <w:bCs/>
          <w:sz w:val="16"/>
          <w:szCs w:val="16"/>
          <w:lang w:val="es-ES" w:eastAsia="es-CO" w:bidi="ar-SA"/>
        </w:rPr>
        <w:t xml:space="preserve"> en el subnumeral 2.</w:t>
      </w:r>
      <w:r w:rsidR="00D71F6E">
        <w:rPr>
          <w:rFonts w:ascii="Arial" w:eastAsia="Times New Roman" w:hAnsi="Arial" w:cs="Times New Roman"/>
          <w:b/>
          <w:bCs/>
          <w:sz w:val="16"/>
          <w:szCs w:val="16"/>
          <w:lang w:val="es-ES" w:eastAsia="es-CO" w:bidi="ar-SA"/>
        </w:rPr>
        <w:t>8</w:t>
      </w:r>
      <w:r w:rsidRPr="527A6024" w:rsidR="00CA6172">
        <w:rPr>
          <w:rFonts w:ascii="Arial" w:eastAsia="Times New Roman" w:hAnsi="Arial" w:cs="Times New Roman"/>
          <w:b/>
          <w:bCs/>
          <w:sz w:val="16"/>
          <w:szCs w:val="16"/>
          <w:lang w:val="es-ES" w:eastAsia="es-CO" w:bidi="ar-SA"/>
        </w:rPr>
        <w:t xml:space="preserve"> del Anexo </w:t>
      </w:r>
      <w:r w:rsidRPr="527A6024" w:rsidR="00516E6A">
        <w:rPr>
          <w:rFonts w:ascii="Arial" w:eastAsia="Times New Roman" w:hAnsi="Arial" w:cs="Times New Roman"/>
          <w:b/>
          <w:bCs/>
          <w:sz w:val="16"/>
          <w:szCs w:val="16"/>
          <w:lang w:val="es-ES" w:eastAsia="es-CO" w:bidi="ar-SA"/>
        </w:rPr>
        <w:t>1</w:t>
      </w:r>
      <w:r w:rsidRPr="527A6024" w:rsidR="0D5DB201">
        <w:rPr>
          <w:rFonts w:ascii="Arial" w:eastAsia="Times New Roman" w:hAnsi="Arial" w:cs="Times New Roman"/>
          <w:b/>
          <w:bCs/>
          <w:sz w:val="16"/>
          <w:szCs w:val="16"/>
          <w:lang w:val="es-ES" w:eastAsia="es-CO" w:bidi="ar-SA"/>
        </w:rPr>
        <w:t>5</w:t>
      </w:r>
      <w:r w:rsidRPr="527A6024" w:rsidR="00516E6A">
        <w:rPr>
          <w:rFonts w:ascii="Arial" w:eastAsia="Times New Roman" w:hAnsi="Arial" w:cs="Times New Roman"/>
          <w:b/>
          <w:bCs/>
          <w:sz w:val="16"/>
          <w:szCs w:val="16"/>
          <w:lang w:val="es-ES" w:eastAsia="es-CO" w:bidi="ar-SA"/>
        </w:rPr>
        <w:t xml:space="preserve"> del presente Título</w:t>
      </w:r>
      <w:r w:rsidRPr="527A6024">
        <w:rPr>
          <w:rFonts w:ascii="Arial" w:eastAsia="Times New Roman" w:hAnsi="Arial" w:cs="Times New Roman"/>
          <w:b/>
          <w:bCs/>
          <w:sz w:val="16"/>
          <w:szCs w:val="16"/>
          <w:lang w:val="es-ES" w:eastAsia="es-CO" w:bidi="ar-SA"/>
        </w:rPr>
        <w:t xml:space="preserve">. </w:t>
      </w:r>
    </w:p>
    <w:p w:rsidR="00DE0577" w:rsidRPr="00BF4ADD" w:rsidP="7DE704E8" w14:paraId="2DAA48F2" w14:textId="77777777">
      <w:pPr>
        <w:pBdr>
          <w:left w:val="single" w:sz="4" w:space="4" w:color="auto"/>
        </w:pBdr>
        <w:jc w:val="both"/>
        <w:rPr>
          <w:rFonts w:ascii="Arial" w:eastAsia="Times New Roman" w:hAnsi="Arial" w:cs="Times New Roman"/>
          <w:b/>
          <w:bCs/>
          <w:sz w:val="16"/>
          <w:szCs w:val="16"/>
          <w:lang w:val="es-ES" w:eastAsia="es-CO" w:bidi="ar-SA"/>
        </w:rPr>
      </w:pPr>
    </w:p>
    <w:p w:rsidR="00DE0577" w:rsidRPr="00BF4ADD" w:rsidP="7DE704E8" w14:paraId="78BD37BD" w14:textId="18BE45EE">
      <w:pPr>
        <w:pBdr>
          <w:left w:val="single" w:sz="4" w:space="4" w:color="auto"/>
        </w:pBdr>
        <w:jc w:val="both"/>
        <w:rPr>
          <w:rFonts w:ascii="Arial" w:eastAsia="Times New Roman" w:hAnsi="Arial" w:cs="Times New Roman"/>
          <w:b/>
          <w:bCs/>
          <w:sz w:val="16"/>
          <w:szCs w:val="16"/>
          <w:lang w:val="es-ES" w:eastAsia="es-CO" w:bidi="ar-SA"/>
        </w:rPr>
      </w:pPr>
      <w:r w:rsidRPr="7DE704E8">
        <w:rPr>
          <w:rFonts w:ascii="Arial" w:eastAsia="Times New Roman" w:hAnsi="Arial" w:cs="Times New Roman"/>
          <w:b/>
          <w:bCs/>
          <w:sz w:val="16"/>
          <w:szCs w:val="16"/>
          <w:lang w:val="es-ES" w:eastAsia="es-CO" w:bidi="ar-SA"/>
        </w:rPr>
        <w:t xml:space="preserve">2.2.9.1.1.4. </w:t>
      </w:r>
      <w:r w:rsidR="0071415A">
        <w:rPr>
          <w:rFonts w:ascii="Arial" w:eastAsia="Times New Roman" w:hAnsi="Arial" w:cs="Times New Roman"/>
          <w:b/>
          <w:bCs/>
          <w:sz w:val="16"/>
          <w:szCs w:val="16"/>
          <w:lang w:val="es-ES" w:eastAsia="es-CO" w:bidi="ar-SA"/>
        </w:rPr>
        <w:t>La política de inversión</w:t>
      </w:r>
      <w:r w:rsidRPr="7DE704E8">
        <w:rPr>
          <w:rFonts w:ascii="Arial" w:eastAsia="Times New Roman" w:hAnsi="Arial" w:cs="Times New Roman"/>
          <w:b/>
          <w:bCs/>
          <w:sz w:val="16"/>
          <w:szCs w:val="16"/>
          <w:lang w:val="es-ES" w:eastAsia="es-CO" w:bidi="ar-SA"/>
        </w:rPr>
        <w:t xml:space="preserve"> </w:t>
      </w:r>
      <w:r w:rsidRPr="7DE704E8" w:rsidR="75372F8B">
        <w:rPr>
          <w:rFonts w:ascii="Arial" w:eastAsia="Times New Roman" w:hAnsi="Arial" w:cs="Times New Roman"/>
          <w:b/>
          <w:bCs/>
          <w:sz w:val="16"/>
          <w:szCs w:val="16"/>
          <w:lang w:val="es-ES" w:eastAsia="es-CO" w:bidi="ar-SA"/>
        </w:rPr>
        <w:t>debe designar</w:t>
      </w:r>
      <w:r w:rsidRPr="7DE704E8">
        <w:rPr>
          <w:rFonts w:ascii="Arial" w:eastAsia="Times New Roman" w:hAnsi="Arial" w:cs="Times New Roman"/>
          <w:b/>
          <w:bCs/>
          <w:sz w:val="16"/>
          <w:szCs w:val="16"/>
          <w:lang w:val="es-ES" w:eastAsia="es-CO" w:bidi="ar-SA"/>
        </w:rPr>
        <w:t xml:space="preserve"> </w:t>
      </w:r>
      <w:r w:rsidRPr="7DE704E8" w:rsidR="75372F8B">
        <w:rPr>
          <w:rFonts w:ascii="Arial" w:eastAsia="Times New Roman" w:hAnsi="Arial" w:cs="Times New Roman"/>
          <w:b/>
          <w:bCs/>
          <w:sz w:val="16"/>
          <w:szCs w:val="16"/>
          <w:lang w:val="es-ES" w:eastAsia="es-CO" w:bidi="ar-SA"/>
        </w:rPr>
        <w:t xml:space="preserve">el área </w:t>
      </w:r>
      <w:r w:rsidRPr="7DE704E8">
        <w:rPr>
          <w:rFonts w:ascii="Arial" w:eastAsia="Times New Roman" w:hAnsi="Arial" w:cs="Times New Roman"/>
          <w:b/>
          <w:bCs/>
          <w:sz w:val="16"/>
          <w:szCs w:val="16"/>
          <w:lang w:val="es-ES" w:eastAsia="es-CO" w:bidi="ar-SA"/>
        </w:rPr>
        <w:t xml:space="preserve">responsable de la presentación de los informes con los resultados de la aplicación de los mecanismos de que trata el presente subnumeral, </w:t>
      </w:r>
      <w:r w:rsidRPr="7DE704E8" w:rsidR="7FBBA1BF">
        <w:rPr>
          <w:rFonts w:ascii="Arial" w:eastAsia="Times New Roman" w:hAnsi="Arial" w:cs="Times New Roman"/>
          <w:b/>
          <w:bCs/>
          <w:sz w:val="16"/>
          <w:szCs w:val="16"/>
          <w:lang w:val="es-ES" w:eastAsia="es-CO" w:bidi="ar-SA"/>
        </w:rPr>
        <w:t>quien a su vez</w:t>
      </w:r>
      <w:r w:rsidRPr="7DE704E8">
        <w:rPr>
          <w:rFonts w:ascii="Arial" w:eastAsia="Times New Roman" w:hAnsi="Arial" w:cs="Times New Roman"/>
          <w:b/>
          <w:bCs/>
          <w:sz w:val="16"/>
          <w:szCs w:val="16"/>
          <w:lang w:val="es-ES" w:eastAsia="es-CO" w:bidi="ar-SA"/>
        </w:rPr>
        <w:t xml:space="preserve"> </w:t>
      </w:r>
      <w:r w:rsidR="00A568E4">
        <w:rPr>
          <w:rFonts w:ascii="Arial" w:eastAsia="Times New Roman" w:hAnsi="Arial" w:cs="Times New Roman"/>
          <w:b/>
          <w:bCs/>
          <w:sz w:val="16"/>
          <w:szCs w:val="16"/>
          <w:lang w:val="es-ES" w:eastAsia="es-CO" w:bidi="ar-SA"/>
        </w:rPr>
        <w:t xml:space="preserve">estará </w:t>
      </w:r>
      <w:r w:rsidRPr="7DE704E8">
        <w:rPr>
          <w:rFonts w:ascii="Arial" w:eastAsia="Times New Roman" w:hAnsi="Arial" w:cs="Times New Roman"/>
          <w:b/>
          <w:bCs/>
          <w:sz w:val="16"/>
          <w:szCs w:val="16"/>
          <w:lang w:val="es-ES" w:eastAsia="es-CO" w:bidi="ar-SA"/>
        </w:rPr>
        <w:t xml:space="preserve">encargada del control </w:t>
      </w:r>
      <w:r w:rsidRPr="00F01A2E" w:rsidR="00883690">
        <w:rPr>
          <w:rFonts w:ascii="Arial" w:eastAsia="Times New Roman" w:hAnsi="Arial" w:cs="Times New Roman"/>
          <w:b/>
          <w:bCs/>
          <w:sz w:val="16"/>
          <w:szCs w:val="16"/>
          <w:lang w:val="es-ES" w:eastAsia="es-CO" w:bidi="ar-SA"/>
        </w:rPr>
        <w:t>permanente</w:t>
      </w:r>
      <w:r w:rsidRPr="7DE704E8" w:rsidR="00883690">
        <w:rPr>
          <w:rFonts w:ascii="Arial" w:eastAsia="Times New Roman" w:hAnsi="Arial" w:cs="Times New Roman"/>
          <w:b/>
          <w:bCs/>
          <w:sz w:val="16"/>
          <w:szCs w:val="16"/>
          <w:lang w:val="es-ES" w:eastAsia="es-CO" w:bidi="ar-SA"/>
        </w:rPr>
        <w:t xml:space="preserve"> </w:t>
      </w:r>
      <w:r w:rsidRPr="7DE704E8">
        <w:rPr>
          <w:rFonts w:ascii="Arial" w:eastAsia="Times New Roman" w:hAnsi="Arial" w:cs="Times New Roman"/>
          <w:b/>
          <w:bCs/>
          <w:sz w:val="16"/>
          <w:szCs w:val="16"/>
          <w:lang w:val="es-ES" w:eastAsia="es-CO" w:bidi="ar-SA"/>
        </w:rPr>
        <w:t>del cumplimiento de los límites de inversión.</w:t>
      </w:r>
    </w:p>
    <w:p w:rsidR="005C325A" w:rsidP="7DE704E8" w14:paraId="0E1046F9" w14:textId="77777777">
      <w:pPr>
        <w:pBdr>
          <w:left w:val="single" w:sz="4" w:space="4" w:color="auto"/>
        </w:pBdr>
        <w:jc w:val="both"/>
        <w:rPr>
          <w:rFonts w:ascii="Arial" w:eastAsia="Times New Roman" w:hAnsi="Arial" w:cs="Times New Roman"/>
          <w:b/>
          <w:bCs/>
          <w:sz w:val="16"/>
          <w:szCs w:val="16"/>
          <w:lang w:val="es-ES" w:eastAsia="es-CO" w:bidi="ar-SA"/>
        </w:rPr>
        <w:sectPr w:rsidSect="00B269D7">
          <w:headerReference w:type="even" r:id="rId19"/>
          <w:headerReference w:type="default" r:id="rId20"/>
          <w:footerReference w:type="even" r:id="rId21"/>
          <w:footerReference w:type="default" r:id="rId22"/>
          <w:headerReference w:type="first" r:id="rId23"/>
          <w:footerReference w:type="first" r:id="rId24"/>
          <w:type w:val="nextPage"/>
          <w:pgSz w:w="12240" w:h="18720" w:code="257"/>
          <w:pgMar w:top="1417" w:right="1701" w:bottom="1417" w:left="1701" w:header="709" w:footer="865" w:gutter="0"/>
          <w:pgNumType w:start="31"/>
          <w:cols w:space="708"/>
          <w:docGrid w:linePitch="360"/>
        </w:sectPr>
      </w:pPr>
    </w:p>
    <w:p w:rsidR="0009313D" w:rsidP="7DE704E8" w14:paraId="21540028" w14:textId="6F96561E">
      <w:pPr>
        <w:pBdr>
          <w:left w:val="single" w:sz="4" w:space="4" w:color="auto"/>
        </w:pBdr>
        <w:jc w:val="both"/>
        <w:rPr>
          <w:rFonts w:ascii="Arial" w:eastAsia="Times New Roman" w:hAnsi="Arial" w:cs="Times New Roman"/>
          <w:b/>
          <w:bCs/>
          <w:sz w:val="16"/>
          <w:szCs w:val="16"/>
          <w:lang w:val="es-ES" w:eastAsia="es-CO" w:bidi="ar-SA"/>
        </w:rPr>
      </w:pPr>
      <w:r w:rsidRPr="527A6024">
        <w:rPr>
          <w:rFonts w:ascii="Arial" w:eastAsia="Times New Roman" w:hAnsi="Arial" w:cs="Times New Roman"/>
          <w:b/>
          <w:bCs/>
          <w:sz w:val="16"/>
          <w:szCs w:val="16"/>
          <w:lang w:val="es-ES" w:eastAsia="es-CO" w:bidi="ar-SA"/>
        </w:rPr>
        <w:t xml:space="preserve">2.2.9.1.1.5. </w:t>
      </w:r>
      <w:r w:rsidRPr="527A6024" w:rsidR="7B325318">
        <w:rPr>
          <w:rFonts w:ascii="Arial" w:eastAsia="Times New Roman" w:hAnsi="Arial" w:cs="Times New Roman"/>
          <w:b/>
          <w:bCs/>
          <w:sz w:val="16"/>
          <w:szCs w:val="16"/>
          <w:lang w:val="es-ES" w:eastAsia="es-CO" w:bidi="ar-SA"/>
        </w:rPr>
        <w:t>E</w:t>
      </w:r>
      <w:r w:rsidRPr="527A6024" w:rsidR="00DE0577">
        <w:rPr>
          <w:rFonts w:ascii="Arial" w:eastAsia="Times New Roman" w:hAnsi="Arial" w:cs="Times New Roman"/>
          <w:b/>
          <w:bCs/>
          <w:sz w:val="16"/>
          <w:szCs w:val="16"/>
          <w:lang w:val="es-ES" w:eastAsia="es-CO" w:bidi="ar-SA"/>
        </w:rPr>
        <w:t xml:space="preserve">xposición subyacente en el caso de inversiones realizadas a través de </w:t>
      </w:r>
      <w:r w:rsidRPr="527A6024" w:rsidR="007E5824">
        <w:rPr>
          <w:rFonts w:ascii="Arial" w:eastAsia="Times New Roman" w:hAnsi="Arial" w:cs="Times New Roman"/>
          <w:b/>
          <w:bCs/>
          <w:sz w:val="16"/>
          <w:szCs w:val="16"/>
          <w:lang w:val="es-ES" w:eastAsia="es-CO" w:bidi="ar-SA"/>
        </w:rPr>
        <w:t>f</w:t>
      </w:r>
      <w:r w:rsidRPr="527A6024" w:rsidR="00DE0577">
        <w:rPr>
          <w:rFonts w:ascii="Arial" w:eastAsia="Times New Roman" w:hAnsi="Arial" w:cs="Times New Roman"/>
          <w:b/>
          <w:bCs/>
          <w:sz w:val="16"/>
          <w:szCs w:val="16"/>
          <w:lang w:val="es-ES" w:eastAsia="es-CO" w:bidi="ar-SA"/>
        </w:rPr>
        <w:t xml:space="preserve">ondos de fondos u otros vehículos de inversión mediante los cuales la </w:t>
      </w:r>
      <w:r w:rsidRPr="527A6024">
        <w:rPr>
          <w:rFonts w:ascii="Arial" w:eastAsia="Times New Roman" w:hAnsi="Arial" w:cs="Times New Roman"/>
          <w:b/>
          <w:bCs/>
          <w:sz w:val="16"/>
          <w:szCs w:val="16"/>
          <w:lang w:val="es-ES" w:eastAsia="es-CO" w:bidi="ar-SA"/>
        </w:rPr>
        <w:t>entidad aseguradora</w:t>
      </w:r>
      <w:r w:rsidR="000F4DD0">
        <w:rPr>
          <w:rFonts w:ascii="Arial" w:eastAsia="Times New Roman" w:hAnsi="Arial" w:cs="Times New Roman"/>
          <w:b/>
          <w:bCs/>
          <w:sz w:val="16"/>
          <w:szCs w:val="16"/>
          <w:lang w:val="es-ES" w:eastAsia="es-CO" w:bidi="ar-SA"/>
        </w:rPr>
        <w:t xml:space="preserve"> de vida</w:t>
      </w:r>
      <w:r w:rsidRPr="527A6024" w:rsidR="00DE0577">
        <w:rPr>
          <w:rFonts w:ascii="Arial" w:eastAsia="Times New Roman" w:hAnsi="Arial" w:cs="Times New Roman"/>
          <w:b/>
          <w:bCs/>
          <w:sz w:val="16"/>
          <w:szCs w:val="16"/>
          <w:lang w:val="es-ES" w:eastAsia="es-CO" w:bidi="ar-SA"/>
        </w:rPr>
        <w:t xml:space="preserve"> tenga una exposición a inversiones restringidas. En el </w:t>
      </w:r>
      <w:r w:rsidR="000F6C3B">
        <w:rPr>
          <w:rFonts w:ascii="Arial" w:eastAsia="Times New Roman" w:hAnsi="Arial" w:cs="Times New Roman"/>
          <w:b/>
          <w:bCs/>
          <w:sz w:val="16"/>
          <w:szCs w:val="16"/>
          <w:lang w:val="es-ES" w:eastAsia="es-CO" w:bidi="ar-SA"/>
        </w:rPr>
        <w:t xml:space="preserve">evento </w:t>
      </w:r>
      <w:r w:rsidRPr="527A6024" w:rsidR="00DE0577">
        <w:rPr>
          <w:rFonts w:ascii="Arial" w:eastAsia="Times New Roman" w:hAnsi="Arial" w:cs="Times New Roman"/>
          <w:b/>
          <w:bCs/>
          <w:sz w:val="16"/>
          <w:szCs w:val="16"/>
          <w:lang w:val="es-ES" w:eastAsia="es-CO" w:bidi="ar-SA"/>
        </w:rPr>
        <w:t xml:space="preserve">que la </w:t>
      </w:r>
      <w:r w:rsidRPr="527A6024">
        <w:rPr>
          <w:rFonts w:ascii="Arial" w:eastAsia="Times New Roman" w:hAnsi="Arial" w:cs="Times New Roman"/>
          <w:b/>
          <w:bCs/>
          <w:sz w:val="16"/>
          <w:szCs w:val="16"/>
          <w:lang w:val="es-ES" w:eastAsia="es-CO" w:bidi="ar-SA"/>
        </w:rPr>
        <w:t>entidad aseguradora</w:t>
      </w:r>
      <w:r w:rsidR="000F4DD0">
        <w:rPr>
          <w:rFonts w:ascii="Arial" w:eastAsia="Times New Roman" w:hAnsi="Arial" w:cs="Times New Roman"/>
          <w:b/>
          <w:bCs/>
          <w:sz w:val="16"/>
          <w:szCs w:val="16"/>
          <w:lang w:val="es-ES" w:eastAsia="es-CO" w:bidi="ar-SA"/>
        </w:rPr>
        <w:t xml:space="preserve"> de vida</w:t>
      </w:r>
      <w:r w:rsidRPr="527A6024" w:rsidR="00DE0577">
        <w:rPr>
          <w:rFonts w:ascii="Arial" w:eastAsia="Times New Roman" w:hAnsi="Arial" w:cs="Times New Roman"/>
          <w:b/>
          <w:bCs/>
          <w:sz w:val="16"/>
          <w:szCs w:val="16"/>
          <w:lang w:val="es-ES" w:eastAsia="es-CO" w:bidi="ar-SA"/>
        </w:rPr>
        <w:t xml:space="preserve"> realice inversiones en </w:t>
      </w:r>
      <w:r w:rsidRPr="527A6024">
        <w:rPr>
          <w:rFonts w:ascii="Arial" w:eastAsia="Times New Roman" w:hAnsi="Arial" w:cs="Times New Roman"/>
          <w:b/>
          <w:bCs/>
          <w:sz w:val="16"/>
          <w:szCs w:val="16"/>
          <w:lang w:val="es-ES" w:eastAsia="es-CO" w:bidi="ar-SA"/>
        </w:rPr>
        <w:t>f</w:t>
      </w:r>
      <w:r w:rsidRPr="527A6024" w:rsidR="00DE0577">
        <w:rPr>
          <w:rFonts w:ascii="Arial" w:eastAsia="Times New Roman" w:hAnsi="Arial" w:cs="Times New Roman"/>
          <w:b/>
          <w:bCs/>
          <w:sz w:val="16"/>
          <w:szCs w:val="16"/>
          <w:lang w:val="es-ES" w:eastAsia="es-CO" w:bidi="ar-SA"/>
        </w:rPr>
        <w:t xml:space="preserve">ondos de fondos u otros vehículos mediante los cuales tenga una exposición a inversiones restringidas, el mecanismo debe permitir determinar la exposición </w:t>
      </w:r>
      <w:r w:rsidRPr="527A6024" w:rsidR="0C1D99E5">
        <w:rPr>
          <w:rFonts w:ascii="Arial" w:eastAsia="Times New Roman" w:hAnsi="Arial" w:cs="Times New Roman"/>
          <w:b/>
          <w:bCs/>
          <w:sz w:val="16"/>
          <w:szCs w:val="16"/>
          <w:lang w:val="es-ES" w:eastAsia="es-CO" w:bidi="ar-SA"/>
        </w:rPr>
        <w:t>del fondo</w:t>
      </w:r>
      <w:r w:rsidRPr="527A6024" w:rsidR="00DE0577">
        <w:rPr>
          <w:rFonts w:ascii="Arial" w:eastAsia="Times New Roman" w:hAnsi="Arial" w:cs="Times New Roman"/>
          <w:b/>
          <w:bCs/>
          <w:sz w:val="16"/>
          <w:szCs w:val="16"/>
          <w:lang w:val="es-ES" w:eastAsia="es-CO" w:bidi="ar-SA"/>
        </w:rPr>
        <w:t xml:space="preserve"> subyacente</w:t>
      </w:r>
      <w:r w:rsidRPr="527A6024" w:rsidR="0FC33D3D">
        <w:rPr>
          <w:rFonts w:ascii="Arial" w:eastAsia="Times New Roman" w:hAnsi="Arial" w:cs="Times New Roman"/>
          <w:b/>
          <w:bCs/>
          <w:sz w:val="16"/>
          <w:szCs w:val="16"/>
          <w:lang w:val="es-ES" w:eastAsia="es-CO" w:bidi="ar-SA"/>
        </w:rPr>
        <w:t xml:space="preserve"> a estas inversiones</w:t>
      </w:r>
      <w:r w:rsidRPr="527A6024" w:rsidR="00DE0577">
        <w:rPr>
          <w:rFonts w:ascii="Arial" w:eastAsia="Times New Roman" w:hAnsi="Arial" w:cs="Times New Roman"/>
          <w:b/>
          <w:bCs/>
          <w:sz w:val="16"/>
          <w:szCs w:val="16"/>
          <w:lang w:val="es-ES" w:eastAsia="es-CO" w:bidi="ar-SA"/>
        </w:rPr>
        <w:t xml:space="preserve">. En caso </w:t>
      </w:r>
      <w:r w:rsidR="00FE542B">
        <w:rPr>
          <w:rFonts w:ascii="Arial" w:eastAsia="Times New Roman" w:hAnsi="Arial" w:cs="Times New Roman"/>
          <w:b/>
          <w:bCs/>
          <w:sz w:val="16"/>
          <w:szCs w:val="16"/>
          <w:lang w:val="es-ES" w:eastAsia="es-CO" w:bidi="ar-SA"/>
        </w:rPr>
        <w:t xml:space="preserve">de </w:t>
      </w:r>
      <w:r w:rsidRPr="527A6024" w:rsidR="00DE0577">
        <w:rPr>
          <w:rFonts w:ascii="Arial" w:eastAsia="Times New Roman" w:hAnsi="Arial" w:cs="Times New Roman"/>
          <w:b/>
          <w:bCs/>
          <w:sz w:val="16"/>
          <w:szCs w:val="16"/>
          <w:lang w:val="es-ES" w:eastAsia="es-CO" w:bidi="ar-SA"/>
        </w:rPr>
        <w:t xml:space="preserve">que para el fondo subyacente no se cuente con información actualizada en los términos del subnumeral </w:t>
      </w:r>
      <w:r w:rsidRPr="527A6024" w:rsidR="00C16812">
        <w:rPr>
          <w:rFonts w:ascii="Arial" w:eastAsia="Times New Roman" w:hAnsi="Arial" w:cs="Times New Roman"/>
          <w:b/>
          <w:bCs/>
          <w:sz w:val="16"/>
          <w:szCs w:val="16"/>
          <w:lang w:val="es-ES" w:eastAsia="es-CO" w:bidi="ar-SA"/>
        </w:rPr>
        <w:t>2.2.9</w:t>
      </w:r>
      <w:r w:rsidRPr="527A6024" w:rsidR="00DE0577">
        <w:rPr>
          <w:rFonts w:ascii="Arial" w:eastAsia="Times New Roman" w:hAnsi="Arial" w:cs="Times New Roman"/>
          <w:b/>
          <w:bCs/>
          <w:sz w:val="16"/>
          <w:szCs w:val="16"/>
          <w:lang w:val="es-ES" w:eastAsia="es-CO" w:bidi="ar-SA"/>
        </w:rPr>
        <w:t>.1.1</w:t>
      </w:r>
      <w:r w:rsidRPr="527A6024" w:rsidR="005B5E0D">
        <w:rPr>
          <w:rFonts w:ascii="Arial" w:eastAsia="Times New Roman" w:hAnsi="Arial" w:cs="Times New Roman"/>
          <w:b/>
          <w:bCs/>
          <w:sz w:val="16"/>
          <w:szCs w:val="16"/>
          <w:lang w:val="es-ES" w:eastAsia="es-CO" w:bidi="ar-SA"/>
        </w:rPr>
        <w:t>.1</w:t>
      </w:r>
      <w:r w:rsidRPr="527A6024" w:rsidR="00DE0577">
        <w:rPr>
          <w:rFonts w:ascii="Arial" w:eastAsia="Times New Roman" w:hAnsi="Arial" w:cs="Times New Roman"/>
          <w:b/>
          <w:bCs/>
          <w:sz w:val="16"/>
          <w:szCs w:val="16"/>
          <w:lang w:val="es-ES" w:eastAsia="es-CO" w:bidi="ar-SA"/>
        </w:rPr>
        <w:t xml:space="preserve"> precedente, la </w:t>
      </w:r>
      <w:r w:rsidRPr="527A6024">
        <w:rPr>
          <w:rFonts w:ascii="Arial" w:eastAsia="Times New Roman" w:hAnsi="Arial" w:cs="Times New Roman"/>
          <w:b/>
          <w:bCs/>
          <w:sz w:val="16"/>
          <w:szCs w:val="16"/>
          <w:lang w:val="es-ES" w:eastAsia="es-CO" w:bidi="ar-SA"/>
        </w:rPr>
        <w:t>entidad aseguradora</w:t>
      </w:r>
      <w:r w:rsidRPr="527A6024" w:rsidR="00DE0577">
        <w:rPr>
          <w:rFonts w:ascii="Arial" w:eastAsia="Times New Roman" w:hAnsi="Arial" w:cs="Times New Roman"/>
          <w:b/>
          <w:bCs/>
          <w:sz w:val="16"/>
          <w:szCs w:val="16"/>
          <w:lang w:val="es-ES" w:eastAsia="es-CO" w:bidi="ar-SA"/>
        </w:rPr>
        <w:t xml:space="preserve"> </w:t>
      </w:r>
      <w:r w:rsidR="000F4DD0">
        <w:rPr>
          <w:rFonts w:ascii="Arial" w:eastAsia="Times New Roman" w:hAnsi="Arial" w:cs="Times New Roman"/>
          <w:b/>
          <w:bCs/>
          <w:sz w:val="16"/>
          <w:szCs w:val="16"/>
          <w:lang w:val="es-ES" w:eastAsia="es-CO" w:bidi="ar-SA"/>
        </w:rPr>
        <w:t xml:space="preserve">de vida </w:t>
      </w:r>
      <w:r w:rsidRPr="527A6024" w:rsidR="00DE0577">
        <w:rPr>
          <w:rFonts w:ascii="Arial" w:eastAsia="Times New Roman" w:hAnsi="Arial" w:cs="Times New Roman"/>
          <w:b/>
          <w:bCs/>
          <w:sz w:val="16"/>
          <w:szCs w:val="16"/>
          <w:lang w:val="es-ES" w:eastAsia="es-CO" w:bidi="ar-SA"/>
        </w:rPr>
        <w:t>debe tomar la máxima exposición permitida en este tipo de inversiones, según la política de inversión establecida en el reglamento</w:t>
      </w:r>
      <w:r w:rsidRPr="527A6024">
        <w:rPr>
          <w:rFonts w:ascii="Arial" w:eastAsia="Times New Roman" w:hAnsi="Arial" w:cs="Times New Roman"/>
          <w:b/>
          <w:bCs/>
          <w:sz w:val="16"/>
          <w:szCs w:val="16"/>
          <w:lang w:val="es-ES" w:eastAsia="es-CO" w:bidi="ar-SA"/>
        </w:rPr>
        <w:t>.</w:t>
      </w:r>
      <w:r w:rsidR="007101E3">
        <w:rPr>
          <w:rFonts w:ascii="Arial" w:eastAsia="Times New Roman" w:hAnsi="Arial" w:cs="Times New Roman"/>
          <w:b/>
          <w:bCs/>
          <w:sz w:val="16"/>
          <w:szCs w:val="16"/>
          <w:lang w:val="es-ES" w:eastAsia="es-CO" w:bidi="ar-SA"/>
        </w:rPr>
        <w:t xml:space="preserve"> </w:t>
      </w:r>
      <w:r w:rsidR="001103B8">
        <w:rPr>
          <w:rFonts w:ascii="Arial" w:eastAsia="Times New Roman" w:hAnsi="Arial" w:cs="Times New Roman"/>
          <w:b/>
          <w:bCs/>
          <w:sz w:val="16"/>
          <w:szCs w:val="16"/>
          <w:lang w:val="es-ES" w:eastAsia="es-CO" w:bidi="ar-SA"/>
        </w:rPr>
        <w:t xml:space="preserve">Para </w:t>
      </w:r>
      <w:r w:rsidRPr="527A6024" w:rsidR="00DE0577">
        <w:rPr>
          <w:rFonts w:ascii="Arial" w:eastAsia="Times New Roman" w:hAnsi="Arial" w:cs="Times New Roman"/>
          <w:b/>
          <w:bCs/>
          <w:sz w:val="16"/>
          <w:szCs w:val="16"/>
          <w:lang w:val="es-ES" w:eastAsia="es-CO" w:bidi="ar-SA"/>
        </w:rPr>
        <w:t xml:space="preserve">la determinación de la exposición real subyacente al tipo de </w:t>
      </w:r>
      <w:r w:rsidRPr="527A6024" w:rsidR="007E5824">
        <w:rPr>
          <w:rFonts w:ascii="Arial" w:eastAsia="Times New Roman" w:hAnsi="Arial" w:cs="Times New Roman"/>
          <w:b/>
          <w:bCs/>
          <w:sz w:val="16"/>
          <w:szCs w:val="16"/>
          <w:lang w:val="es-ES" w:eastAsia="es-CO" w:bidi="ar-SA"/>
        </w:rPr>
        <w:t>f</w:t>
      </w:r>
      <w:r w:rsidRPr="527A6024" w:rsidR="00DE0577">
        <w:rPr>
          <w:rFonts w:ascii="Arial" w:eastAsia="Times New Roman" w:hAnsi="Arial" w:cs="Times New Roman"/>
          <w:b/>
          <w:bCs/>
          <w:sz w:val="16"/>
          <w:szCs w:val="16"/>
          <w:lang w:val="es-ES" w:eastAsia="es-CO" w:bidi="ar-SA"/>
        </w:rPr>
        <w:t>ondo, el mecanismo debe definir el número de</w:t>
      </w:r>
      <w:r w:rsidR="004440DF">
        <w:rPr>
          <w:rFonts w:ascii="Arial" w:eastAsia="Times New Roman" w:hAnsi="Arial" w:cs="Times New Roman"/>
          <w:b/>
          <w:bCs/>
          <w:sz w:val="16"/>
          <w:szCs w:val="16"/>
          <w:lang w:val="es-ES" w:eastAsia="es-CO" w:bidi="ar-SA"/>
        </w:rPr>
        <w:t xml:space="preserve"> veces que razonablemente la entidad aseguradora debe evaluar los activos subyacentes dentro de la composición de un vehículo de inversión u otro tipo de esquema de inversión indirecta, con el fin de establecer la participación de la entidad </w:t>
      </w:r>
      <w:r w:rsidR="001103B8">
        <w:rPr>
          <w:rFonts w:ascii="Arial" w:eastAsia="Times New Roman" w:hAnsi="Arial" w:cs="Times New Roman"/>
          <w:b/>
          <w:bCs/>
          <w:sz w:val="16"/>
          <w:szCs w:val="16"/>
          <w:lang w:val="es-ES" w:eastAsia="es-CO" w:bidi="ar-SA"/>
        </w:rPr>
        <w:t>en</w:t>
      </w:r>
      <w:r w:rsidR="004440DF">
        <w:rPr>
          <w:rFonts w:ascii="Arial" w:eastAsia="Times New Roman" w:hAnsi="Arial" w:cs="Times New Roman"/>
          <w:b/>
          <w:bCs/>
          <w:sz w:val="16"/>
          <w:szCs w:val="16"/>
          <w:lang w:val="es-ES" w:eastAsia="es-CO" w:bidi="ar-SA"/>
        </w:rPr>
        <w:t xml:space="preserve"> activos considerados como </w:t>
      </w:r>
      <w:r w:rsidRPr="527A6024" w:rsidR="00DE0577">
        <w:rPr>
          <w:rFonts w:ascii="Arial" w:eastAsia="Times New Roman" w:hAnsi="Arial" w:cs="Times New Roman"/>
          <w:b/>
          <w:bCs/>
          <w:sz w:val="16"/>
          <w:szCs w:val="16"/>
          <w:lang w:val="es-ES" w:eastAsia="es-CO" w:bidi="ar-SA"/>
        </w:rPr>
        <w:t>restringid</w:t>
      </w:r>
      <w:r w:rsidR="004440DF">
        <w:rPr>
          <w:rFonts w:ascii="Arial" w:eastAsia="Times New Roman" w:hAnsi="Arial" w:cs="Times New Roman"/>
          <w:b/>
          <w:bCs/>
          <w:sz w:val="16"/>
          <w:szCs w:val="16"/>
          <w:lang w:val="es-ES" w:eastAsia="es-CO" w:bidi="ar-SA"/>
        </w:rPr>
        <w:t>o</w:t>
      </w:r>
      <w:r w:rsidRPr="527A6024" w:rsidR="00DE0577">
        <w:rPr>
          <w:rFonts w:ascii="Arial" w:eastAsia="Times New Roman" w:hAnsi="Arial" w:cs="Times New Roman"/>
          <w:b/>
          <w:bCs/>
          <w:sz w:val="16"/>
          <w:szCs w:val="16"/>
          <w:lang w:val="es-ES" w:eastAsia="es-CO" w:bidi="ar-SA"/>
        </w:rPr>
        <w:t xml:space="preserve">s. </w:t>
      </w:r>
    </w:p>
    <w:p w:rsidR="004440DF" w:rsidP="004440DF" w14:paraId="2E96B561" w14:textId="3BCFB77E">
      <w:pPr>
        <w:pBdr>
          <w:left w:val="single" w:sz="4" w:space="4" w:color="auto"/>
        </w:pBdr>
        <w:tabs>
          <w:tab w:val="left" w:pos="3156"/>
        </w:tabs>
        <w:jc w:val="both"/>
        <w:rPr>
          <w:rFonts w:ascii="Arial" w:eastAsia="Times New Roman" w:hAnsi="Arial" w:cs="Times New Roman"/>
          <w:b/>
          <w:bCs/>
          <w:sz w:val="16"/>
          <w:szCs w:val="16"/>
          <w:lang w:val="es-ES" w:eastAsia="es-CO" w:bidi="ar-SA"/>
        </w:rPr>
      </w:pPr>
      <w:r>
        <w:rPr>
          <w:rFonts w:ascii="Arial" w:eastAsia="Times New Roman" w:hAnsi="Arial" w:cs="Times New Roman"/>
          <w:b/>
          <w:bCs/>
          <w:sz w:val="16"/>
          <w:szCs w:val="16"/>
          <w:lang w:val="es-ES" w:eastAsia="es-CO" w:bidi="ar-SA"/>
        </w:rPr>
        <w:tab/>
      </w:r>
    </w:p>
    <w:p w:rsidR="000F4DD0" w:rsidP="7DE704E8" w14:paraId="67706786" w14:textId="77777777">
      <w:pPr>
        <w:pBdr>
          <w:left w:val="single" w:sz="4" w:space="4" w:color="auto"/>
        </w:pBdr>
        <w:jc w:val="both"/>
        <w:rPr>
          <w:rFonts w:ascii="Arial" w:eastAsia="Times New Roman" w:hAnsi="Arial" w:cs="Times New Roman"/>
          <w:b/>
          <w:bCs/>
          <w:sz w:val="16"/>
          <w:szCs w:val="16"/>
          <w:lang w:val="es-ES" w:eastAsia="es-CO" w:bidi="ar-SA"/>
        </w:rPr>
      </w:pPr>
      <w:r>
        <w:rPr>
          <w:rFonts w:ascii="Arial" w:eastAsia="Times New Roman" w:hAnsi="Arial" w:cs="Times New Roman"/>
          <w:b/>
          <w:bCs/>
          <w:sz w:val="16"/>
          <w:szCs w:val="16"/>
          <w:lang w:val="es-ES" w:eastAsia="es-CO" w:bidi="ar-SA"/>
        </w:rPr>
        <w:t xml:space="preserve">2.2.9.2. </w:t>
      </w:r>
      <w:r w:rsidRPr="7DE704E8">
        <w:rPr>
          <w:rFonts w:ascii="Arial" w:eastAsia="Times New Roman" w:hAnsi="Arial" w:cs="Times New Roman"/>
          <w:b/>
          <w:bCs/>
          <w:sz w:val="16"/>
          <w:szCs w:val="16"/>
          <w:lang w:val="es-ES" w:eastAsia="es-CO" w:bidi="ar-SA"/>
        </w:rPr>
        <w:t xml:space="preserve">Control de los límites de inversiones </w:t>
      </w:r>
      <w:r>
        <w:rPr>
          <w:rFonts w:ascii="Arial" w:eastAsia="Times New Roman" w:hAnsi="Arial" w:cs="Times New Roman"/>
          <w:b/>
          <w:bCs/>
          <w:sz w:val="16"/>
          <w:szCs w:val="16"/>
          <w:lang w:val="es-ES" w:eastAsia="es-CO" w:bidi="ar-SA"/>
        </w:rPr>
        <w:t>en activos alternativos</w:t>
      </w:r>
    </w:p>
    <w:p w:rsidR="000F4DD0" w:rsidP="7DE704E8" w14:paraId="5E405EC3" w14:textId="77777777">
      <w:pPr>
        <w:pBdr>
          <w:left w:val="single" w:sz="4" w:space="4" w:color="auto"/>
        </w:pBdr>
        <w:jc w:val="both"/>
        <w:rPr>
          <w:rFonts w:ascii="Arial" w:eastAsia="Times New Roman" w:hAnsi="Arial" w:cs="Times New Roman"/>
          <w:b/>
          <w:bCs/>
          <w:sz w:val="16"/>
          <w:szCs w:val="16"/>
          <w:lang w:val="es-ES" w:eastAsia="es-CO" w:bidi="ar-SA"/>
        </w:rPr>
      </w:pPr>
    </w:p>
    <w:p w:rsidR="000F4DD0" w:rsidP="000F4DD0" w14:paraId="66804BEF" w14:textId="4F621E81">
      <w:pPr>
        <w:pBdr>
          <w:left w:val="single" w:sz="4" w:space="4" w:color="auto"/>
        </w:pBdr>
        <w:jc w:val="both"/>
        <w:rPr>
          <w:rFonts w:ascii="Arial" w:eastAsia="Times New Roman" w:hAnsi="Arial" w:cs="Times New Roman"/>
          <w:b/>
          <w:bCs/>
          <w:sz w:val="16"/>
          <w:szCs w:val="16"/>
          <w:lang w:val="es-ES" w:eastAsia="es-CO" w:bidi="ar-SA"/>
        </w:rPr>
      </w:pPr>
      <w:bookmarkStart w:id="12" w:name="_Hlk67418080"/>
      <w:r w:rsidRPr="7DE704E8">
        <w:rPr>
          <w:rFonts w:ascii="Arial" w:eastAsia="Times New Roman" w:hAnsi="Arial" w:cs="Times New Roman"/>
          <w:b/>
          <w:bCs/>
          <w:sz w:val="16"/>
          <w:szCs w:val="16"/>
          <w:lang w:val="es-ES" w:eastAsia="es-CO" w:bidi="ar-SA"/>
        </w:rPr>
        <w:t>Para el cumplimiento de los límites establecidos para las inversiones que respaldan las reservas técnicas de que trata</w:t>
      </w:r>
      <w:r>
        <w:rPr>
          <w:rFonts w:ascii="Arial" w:eastAsia="Times New Roman" w:hAnsi="Arial" w:cs="Times New Roman"/>
          <w:b/>
          <w:bCs/>
          <w:sz w:val="16"/>
          <w:szCs w:val="16"/>
          <w:lang w:val="es-ES" w:eastAsia="es-CO" w:bidi="ar-SA"/>
        </w:rPr>
        <w:t>n</w:t>
      </w:r>
      <w:r w:rsidRPr="7DE704E8">
        <w:rPr>
          <w:rFonts w:ascii="Arial" w:eastAsia="Times New Roman" w:hAnsi="Arial" w:cs="Times New Roman"/>
          <w:b/>
          <w:bCs/>
          <w:sz w:val="16"/>
          <w:szCs w:val="16"/>
          <w:lang w:val="es-ES" w:eastAsia="es-CO" w:bidi="ar-SA"/>
        </w:rPr>
        <w:t xml:space="preserve"> </w:t>
      </w:r>
      <w:r>
        <w:rPr>
          <w:rFonts w:ascii="Arial" w:eastAsia="Times New Roman" w:hAnsi="Arial" w:cs="Times New Roman"/>
          <w:b/>
          <w:bCs/>
          <w:sz w:val="16"/>
          <w:szCs w:val="16"/>
          <w:lang w:val="es-ES" w:eastAsia="es-CO" w:bidi="ar-SA"/>
        </w:rPr>
        <w:t>los</w:t>
      </w:r>
      <w:r w:rsidRPr="7DE704E8">
        <w:rPr>
          <w:rFonts w:ascii="Arial" w:eastAsia="Times New Roman" w:hAnsi="Arial" w:cs="Times New Roman"/>
          <w:b/>
          <w:bCs/>
          <w:sz w:val="16"/>
          <w:szCs w:val="16"/>
          <w:lang w:val="es-ES" w:eastAsia="es-CO" w:bidi="ar-SA"/>
        </w:rPr>
        <w:t xml:space="preserve"> artículo</w:t>
      </w:r>
      <w:r>
        <w:rPr>
          <w:rFonts w:ascii="Arial" w:eastAsia="Times New Roman" w:hAnsi="Arial" w:cs="Times New Roman"/>
          <w:b/>
          <w:bCs/>
          <w:sz w:val="16"/>
          <w:szCs w:val="16"/>
          <w:lang w:val="es-ES" w:eastAsia="es-CO" w:bidi="ar-SA"/>
        </w:rPr>
        <w:t>s</w:t>
      </w:r>
      <w:r w:rsidRPr="7DE704E8">
        <w:rPr>
          <w:rFonts w:ascii="Arial" w:eastAsia="Times New Roman" w:hAnsi="Arial" w:cs="Times New Roman"/>
          <w:b/>
          <w:bCs/>
          <w:sz w:val="16"/>
          <w:szCs w:val="16"/>
          <w:lang w:val="es-ES" w:eastAsia="es-CO" w:bidi="ar-SA"/>
        </w:rPr>
        <w:t xml:space="preserve"> 2.31.3.1.4</w:t>
      </w:r>
      <w:r w:rsidR="006A52C1">
        <w:rPr>
          <w:rFonts w:ascii="Arial" w:eastAsia="Times New Roman" w:hAnsi="Arial" w:cs="Times New Roman"/>
          <w:b/>
          <w:bCs/>
          <w:sz w:val="16"/>
          <w:szCs w:val="16"/>
          <w:lang w:val="es-ES" w:eastAsia="es-CO" w:bidi="ar-SA"/>
        </w:rPr>
        <w:t>,</w:t>
      </w:r>
      <w:r>
        <w:rPr>
          <w:rFonts w:ascii="Arial" w:eastAsia="Times New Roman" w:hAnsi="Arial" w:cs="Times New Roman"/>
          <w:b/>
          <w:bCs/>
          <w:sz w:val="16"/>
          <w:szCs w:val="16"/>
          <w:lang w:val="es-ES" w:eastAsia="es-CO" w:bidi="ar-SA"/>
        </w:rPr>
        <w:t xml:space="preserve"> 2.31.3.1.5</w:t>
      </w:r>
      <w:r w:rsidR="006A52C1">
        <w:rPr>
          <w:rFonts w:ascii="Arial" w:eastAsia="Times New Roman" w:hAnsi="Arial" w:cs="Times New Roman"/>
          <w:b/>
          <w:bCs/>
          <w:sz w:val="16"/>
          <w:szCs w:val="16"/>
          <w:lang w:val="es-ES" w:eastAsia="es-CO" w:bidi="ar-SA"/>
        </w:rPr>
        <w:t xml:space="preserve"> y 2.31.3.1.7</w:t>
      </w:r>
      <w:r w:rsidRPr="7DE704E8">
        <w:rPr>
          <w:rFonts w:ascii="Arial" w:eastAsia="Times New Roman" w:hAnsi="Arial" w:cs="Times New Roman"/>
          <w:b/>
          <w:bCs/>
          <w:sz w:val="16"/>
          <w:szCs w:val="16"/>
          <w:lang w:val="es-ES" w:eastAsia="es-CO" w:bidi="ar-SA"/>
        </w:rPr>
        <w:t xml:space="preserve"> del Decreto 2555 de </w:t>
      </w:r>
      <w:r w:rsidRPr="004440DF">
        <w:rPr>
          <w:rFonts w:ascii="Arial" w:eastAsia="Times New Roman" w:hAnsi="Arial" w:cs="Times New Roman"/>
          <w:b/>
          <w:bCs/>
          <w:sz w:val="16"/>
          <w:szCs w:val="16"/>
          <w:lang w:val="es-ES" w:eastAsia="es-CO" w:bidi="ar-SA"/>
        </w:rPr>
        <w:t>2010</w:t>
      </w:r>
      <w:r w:rsidRPr="004440DF" w:rsidR="00A26B34">
        <w:rPr>
          <w:rFonts w:ascii="Arial" w:eastAsia="Times New Roman" w:hAnsi="Arial" w:cs="Times New Roman"/>
          <w:b/>
          <w:bCs/>
          <w:sz w:val="16"/>
          <w:szCs w:val="16"/>
          <w:lang w:val="es-ES" w:eastAsia="es-CO" w:bidi="ar-SA"/>
        </w:rPr>
        <w:t xml:space="preserve"> </w:t>
      </w:r>
      <w:r w:rsidRPr="004440DF" w:rsidR="00A26B34">
        <w:rPr>
          <w:rFonts w:ascii="Arial" w:eastAsia="Times New Roman" w:hAnsi="Arial" w:cs="Arial"/>
          <w:b/>
          <w:sz w:val="16"/>
          <w:szCs w:val="16"/>
          <w:lang w:val="es-CO" w:eastAsia="es-CO" w:bidi="ar-SA"/>
        </w:rPr>
        <w:t>u otras disposiciones</w:t>
      </w:r>
      <w:r w:rsidRPr="004440DF" w:rsidR="008E6B1C">
        <w:rPr>
          <w:rFonts w:ascii="Arial" w:eastAsia="Times New Roman" w:hAnsi="Arial" w:cs="Arial"/>
          <w:b/>
          <w:sz w:val="16"/>
          <w:szCs w:val="16"/>
          <w:lang w:val="es-CO" w:eastAsia="es-CO" w:bidi="ar-SA"/>
        </w:rPr>
        <w:t xml:space="preserve"> que</w:t>
      </w:r>
      <w:r w:rsidR="008E6B1C">
        <w:rPr>
          <w:rFonts w:ascii="Arial" w:eastAsia="Times New Roman" w:hAnsi="Arial" w:cs="Arial"/>
          <w:b/>
          <w:sz w:val="16"/>
          <w:szCs w:val="16"/>
          <w:lang w:val="es-CO" w:eastAsia="es-CO" w:bidi="ar-SA"/>
        </w:rPr>
        <w:t xml:space="preserve"> los modifiquen o complementen</w:t>
      </w:r>
      <w:r w:rsidRPr="7DE704E8">
        <w:rPr>
          <w:rFonts w:ascii="Arial" w:eastAsia="Times New Roman" w:hAnsi="Arial" w:cs="Times New Roman"/>
          <w:b/>
          <w:bCs/>
          <w:sz w:val="16"/>
          <w:szCs w:val="16"/>
          <w:lang w:val="es-ES" w:eastAsia="es-CO" w:bidi="ar-SA"/>
        </w:rPr>
        <w:t>, las entidades aseguradoras</w:t>
      </w:r>
      <w:r>
        <w:rPr>
          <w:rFonts w:ascii="Arial" w:eastAsia="Times New Roman" w:hAnsi="Arial" w:cs="Times New Roman"/>
          <w:b/>
          <w:bCs/>
          <w:sz w:val="16"/>
          <w:szCs w:val="16"/>
          <w:lang w:val="es-ES" w:eastAsia="es-CO" w:bidi="ar-SA"/>
        </w:rPr>
        <w:t xml:space="preserve"> </w:t>
      </w:r>
      <w:r w:rsidRPr="7DE704E8">
        <w:rPr>
          <w:rFonts w:ascii="Arial" w:eastAsia="Times New Roman" w:hAnsi="Arial" w:cs="Times New Roman"/>
          <w:b/>
          <w:bCs/>
          <w:sz w:val="16"/>
          <w:szCs w:val="16"/>
          <w:lang w:val="es-ES" w:eastAsia="es-CO" w:bidi="ar-SA"/>
        </w:rPr>
        <w:t xml:space="preserve">deben mantener actualizada la información respecto de la exposición de los vehículos de inversión </w:t>
      </w:r>
      <w:r w:rsidR="00135808">
        <w:rPr>
          <w:rFonts w:ascii="Arial" w:eastAsia="Times New Roman" w:hAnsi="Arial" w:cs="Times New Roman"/>
          <w:b/>
          <w:bCs/>
          <w:sz w:val="16"/>
          <w:szCs w:val="16"/>
          <w:lang w:val="es-ES" w:eastAsia="es-CO" w:bidi="ar-SA"/>
        </w:rPr>
        <w:t>en</w:t>
      </w:r>
      <w:r w:rsidRPr="7DE704E8">
        <w:rPr>
          <w:rFonts w:ascii="Arial" w:eastAsia="Times New Roman" w:hAnsi="Arial" w:cs="Times New Roman"/>
          <w:b/>
          <w:bCs/>
          <w:sz w:val="16"/>
          <w:szCs w:val="16"/>
          <w:lang w:val="es-ES" w:eastAsia="es-CO" w:bidi="ar-SA"/>
        </w:rPr>
        <w:t xml:space="preserve"> activos considerados como </w:t>
      </w:r>
      <w:r>
        <w:rPr>
          <w:rFonts w:ascii="Arial" w:eastAsia="Times New Roman" w:hAnsi="Arial" w:cs="Times New Roman"/>
          <w:b/>
          <w:bCs/>
          <w:sz w:val="16"/>
          <w:szCs w:val="16"/>
          <w:lang w:val="es-ES" w:eastAsia="es-CO" w:bidi="ar-SA"/>
        </w:rPr>
        <w:t>alternativos</w:t>
      </w:r>
      <w:r w:rsidRPr="7DE704E8">
        <w:rPr>
          <w:rFonts w:ascii="Arial" w:eastAsia="Times New Roman" w:hAnsi="Arial" w:cs="Times New Roman"/>
          <w:b/>
          <w:bCs/>
          <w:sz w:val="16"/>
          <w:szCs w:val="16"/>
          <w:lang w:val="es-ES" w:eastAsia="es-CO" w:bidi="ar-SA"/>
        </w:rPr>
        <w:t>.</w:t>
      </w:r>
    </w:p>
    <w:p w:rsidR="000F4DD0" w:rsidP="000F4DD0" w14:paraId="62EDFBA5" w14:textId="77777777">
      <w:pPr>
        <w:pBdr>
          <w:left w:val="single" w:sz="4" w:space="4" w:color="auto"/>
        </w:pBdr>
        <w:jc w:val="both"/>
        <w:rPr>
          <w:rFonts w:ascii="Arial" w:eastAsia="Times New Roman" w:hAnsi="Arial" w:cs="Times New Roman"/>
          <w:b/>
          <w:bCs/>
          <w:sz w:val="16"/>
          <w:szCs w:val="16"/>
          <w:lang w:val="es-ES" w:eastAsia="es-CO" w:bidi="ar-SA"/>
        </w:rPr>
      </w:pPr>
    </w:p>
    <w:p w:rsidR="00F01A2E" w:rsidP="7DE704E8" w14:paraId="18F0BD02" w14:textId="225E9B68">
      <w:pPr>
        <w:pBdr>
          <w:left w:val="single" w:sz="4" w:space="4" w:color="auto"/>
        </w:pBdr>
        <w:jc w:val="both"/>
        <w:rPr>
          <w:rFonts w:ascii="Arial" w:eastAsia="Times New Roman" w:hAnsi="Arial" w:cs="Times New Roman"/>
          <w:b/>
          <w:bCs/>
          <w:sz w:val="16"/>
          <w:szCs w:val="16"/>
          <w:lang w:val="es-ES" w:eastAsia="es-CO" w:bidi="ar-SA"/>
        </w:rPr>
      </w:pPr>
      <w:r>
        <w:rPr>
          <w:rFonts w:ascii="Arial" w:eastAsia="Times New Roman" w:hAnsi="Arial" w:cs="Times New Roman"/>
          <w:b/>
          <w:bCs/>
          <w:sz w:val="16"/>
          <w:szCs w:val="16"/>
          <w:lang w:val="es-ES" w:eastAsia="es-CO" w:bidi="ar-SA"/>
        </w:rPr>
        <w:t xml:space="preserve">En la determinación de la exposición </w:t>
      </w:r>
      <w:r w:rsidR="006B6D26">
        <w:rPr>
          <w:rFonts w:ascii="Arial" w:eastAsia="Times New Roman" w:hAnsi="Arial" w:cs="Times New Roman"/>
          <w:b/>
          <w:bCs/>
          <w:sz w:val="16"/>
          <w:szCs w:val="16"/>
          <w:lang w:val="es-ES" w:eastAsia="es-CO" w:bidi="ar-SA"/>
        </w:rPr>
        <w:t>en</w:t>
      </w:r>
      <w:r>
        <w:rPr>
          <w:rFonts w:ascii="Arial" w:eastAsia="Times New Roman" w:hAnsi="Arial" w:cs="Times New Roman"/>
          <w:b/>
          <w:bCs/>
          <w:sz w:val="16"/>
          <w:szCs w:val="16"/>
          <w:lang w:val="es-ES" w:eastAsia="es-CO" w:bidi="ar-SA"/>
        </w:rPr>
        <w:t xml:space="preserve"> activos alternativos</w:t>
      </w:r>
      <w:r w:rsidRPr="000F4DD0">
        <w:rPr>
          <w:rFonts w:ascii="Arial" w:eastAsia="Times New Roman" w:hAnsi="Arial" w:cs="Times New Roman"/>
          <w:b/>
          <w:bCs/>
          <w:sz w:val="16"/>
          <w:szCs w:val="16"/>
          <w:lang w:val="es-ES" w:eastAsia="es-CO" w:bidi="ar-SA"/>
        </w:rPr>
        <w:t xml:space="preserve"> </w:t>
      </w:r>
      <w:r w:rsidRPr="527A6024">
        <w:rPr>
          <w:rFonts w:ascii="Arial" w:eastAsia="Times New Roman" w:hAnsi="Arial" w:cs="Times New Roman"/>
          <w:b/>
          <w:bCs/>
          <w:sz w:val="16"/>
          <w:szCs w:val="16"/>
          <w:lang w:val="es-ES" w:eastAsia="es-CO" w:bidi="ar-SA"/>
        </w:rPr>
        <w:t>realizadas a través de fondos de fondos u otros vehículos de inversión</w:t>
      </w:r>
      <w:r>
        <w:rPr>
          <w:rFonts w:ascii="Arial" w:eastAsia="Times New Roman" w:hAnsi="Arial" w:cs="Times New Roman"/>
          <w:b/>
          <w:bCs/>
          <w:sz w:val="16"/>
          <w:szCs w:val="16"/>
          <w:lang w:val="es-ES" w:eastAsia="es-CO" w:bidi="ar-SA"/>
        </w:rPr>
        <w:t>, las entidades aseguradoras</w:t>
      </w:r>
      <w:r w:rsidRPr="000F4DD0">
        <w:rPr>
          <w:rFonts w:ascii="Arial" w:eastAsia="Times New Roman" w:hAnsi="Arial" w:cs="Times New Roman"/>
          <w:b/>
          <w:bCs/>
          <w:sz w:val="16"/>
          <w:szCs w:val="16"/>
          <w:lang w:val="es-ES" w:eastAsia="es-CO" w:bidi="ar-SA"/>
        </w:rPr>
        <w:t xml:space="preserve"> </w:t>
      </w:r>
      <w:r>
        <w:rPr>
          <w:rFonts w:ascii="Arial" w:eastAsia="Times New Roman" w:hAnsi="Arial" w:cs="Times New Roman"/>
          <w:b/>
          <w:bCs/>
          <w:sz w:val="16"/>
          <w:szCs w:val="16"/>
          <w:lang w:val="es-ES" w:eastAsia="es-CO" w:bidi="ar-SA"/>
        </w:rPr>
        <w:t xml:space="preserve">deben implementar un </w:t>
      </w:r>
      <w:r w:rsidRPr="527A6024">
        <w:rPr>
          <w:rFonts w:ascii="Arial" w:eastAsia="Times New Roman" w:hAnsi="Arial" w:cs="Times New Roman"/>
          <w:b/>
          <w:bCs/>
          <w:sz w:val="16"/>
          <w:szCs w:val="16"/>
          <w:lang w:val="es-ES" w:eastAsia="es-CO" w:bidi="ar-SA"/>
        </w:rPr>
        <w:t xml:space="preserve">mecanismo </w:t>
      </w:r>
      <w:r>
        <w:rPr>
          <w:rFonts w:ascii="Arial" w:eastAsia="Times New Roman" w:hAnsi="Arial" w:cs="Times New Roman"/>
          <w:b/>
          <w:bCs/>
          <w:sz w:val="16"/>
          <w:szCs w:val="16"/>
          <w:lang w:val="es-ES" w:eastAsia="es-CO" w:bidi="ar-SA"/>
        </w:rPr>
        <w:t xml:space="preserve">que les permita </w:t>
      </w:r>
      <w:r w:rsidRPr="527A6024">
        <w:rPr>
          <w:rFonts w:ascii="Arial" w:eastAsia="Times New Roman" w:hAnsi="Arial" w:cs="Times New Roman"/>
          <w:b/>
          <w:bCs/>
          <w:sz w:val="16"/>
          <w:szCs w:val="16"/>
          <w:lang w:val="es-ES" w:eastAsia="es-CO" w:bidi="ar-SA"/>
        </w:rPr>
        <w:t xml:space="preserve">determinar la exposición del fondo subyacente a estas inversiones. En el caso </w:t>
      </w:r>
      <w:r w:rsidR="001B2341">
        <w:rPr>
          <w:rFonts w:ascii="Arial" w:eastAsia="Times New Roman" w:hAnsi="Arial" w:cs="Times New Roman"/>
          <w:b/>
          <w:bCs/>
          <w:sz w:val="16"/>
          <w:szCs w:val="16"/>
          <w:lang w:val="es-ES" w:eastAsia="es-CO" w:bidi="ar-SA"/>
        </w:rPr>
        <w:t xml:space="preserve">de </w:t>
      </w:r>
      <w:r w:rsidRPr="527A6024">
        <w:rPr>
          <w:rFonts w:ascii="Arial" w:eastAsia="Times New Roman" w:hAnsi="Arial" w:cs="Times New Roman"/>
          <w:b/>
          <w:bCs/>
          <w:sz w:val="16"/>
          <w:szCs w:val="16"/>
          <w:lang w:val="es-ES" w:eastAsia="es-CO" w:bidi="ar-SA"/>
        </w:rPr>
        <w:t>que para el fondo subyacente no se cuente con información actualizada en los términos del subnumeral 2.2.9.1.1.1 precedente, la entidad aseguradora debe tomar la máxima exposición permitida en este tipo de inversiones, según la política de inversión establecida en el reglamento</w:t>
      </w:r>
      <w:r>
        <w:rPr>
          <w:rFonts w:ascii="Arial" w:eastAsia="Times New Roman" w:hAnsi="Arial" w:cs="Times New Roman"/>
          <w:b/>
          <w:bCs/>
          <w:sz w:val="16"/>
          <w:szCs w:val="16"/>
          <w:lang w:val="es-ES" w:eastAsia="es-CO" w:bidi="ar-SA"/>
        </w:rPr>
        <w:t xml:space="preserve">. </w:t>
      </w:r>
      <w:r w:rsidRPr="527A6024">
        <w:rPr>
          <w:rFonts w:ascii="Arial" w:eastAsia="Times New Roman" w:hAnsi="Arial" w:cs="Times New Roman"/>
          <w:b/>
          <w:bCs/>
          <w:sz w:val="16"/>
          <w:szCs w:val="16"/>
          <w:lang w:val="es-ES" w:eastAsia="es-CO" w:bidi="ar-SA"/>
        </w:rPr>
        <w:t>En la determinación de la exposición</w:t>
      </w:r>
      <w:r>
        <w:rPr>
          <w:rFonts w:ascii="Arial" w:eastAsia="Times New Roman" w:hAnsi="Arial" w:cs="Times New Roman"/>
          <w:b/>
          <w:bCs/>
          <w:sz w:val="16"/>
          <w:szCs w:val="16"/>
          <w:lang w:val="es-ES" w:eastAsia="es-CO" w:bidi="ar-SA"/>
        </w:rPr>
        <w:t xml:space="preserve"> subyacente</w:t>
      </w:r>
      <w:r w:rsidRPr="527A6024">
        <w:rPr>
          <w:rFonts w:ascii="Arial" w:eastAsia="Times New Roman" w:hAnsi="Arial" w:cs="Times New Roman"/>
          <w:b/>
          <w:bCs/>
          <w:sz w:val="16"/>
          <w:szCs w:val="16"/>
          <w:lang w:val="es-ES" w:eastAsia="es-CO" w:bidi="ar-SA"/>
        </w:rPr>
        <w:t xml:space="preserve"> </w:t>
      </w:r>
      <w:r w:rsidR="006B6D26">
        <w:rPr>
          <w:rFonts w:ascii="Arial" w:eastAsia="Times New Roman" w:hAnsi="Arial" w:cs="Times New Roman"/>
          <w:b/>
          <w:bCs/>
          <w:sz w:val="16"/>
          <w:szCs w:val="16"/>
          <w:lang w:val="es-ES" w:eastAsia="es-CO" w:bidi="ar-SA"/>
        </w:rPr>
        <w:t>en</w:t>
      </w:r>
      <w:r>
        <w:rPr>
          <w:rFonts w:ascii="Arial" w:eastAsia="Times New Roman" w:hAnsi="Arial" w:cs="Times New Roman"/>
          <w:b/>
          <w:bCs/>
          <w:sz w:val="16"/>
          <w:szCs w:val="16"/>
          <w:lang w:val="es-ES" w:eastAsia="es-CO" w:bidi="ar-SA"/>
        </w:rPr>
        <w:t xml:space="preserve"> activos alternativos</w:t>
      </w:r>
      <w:r w:rsidRPr="527A6024">
        <w:rPr>
          <w:rFonts w:ascii="Arial" w:eastAsia="Times New Roman" w:hAnsi="Arial" w:cs="Times New Roman"/>
          <w:b/>
          <w:bCs/>
          <w:sz w:val="16"/>
          <w:szCs w:val="16"/>
          <w:lang w:val="es-ES" w:eastAsia="es-CO" w:bidi="ar-SA"/>
        </w:rPr>
        <w:t>,</w:t>
      </w:r>
      <w:r>
        <w:rPr>
          <w:rFonts w:ascii="Arial" w:eastAsia="Times New Roman" w:hAnsi="Arial" w:cs="Times New Roman"/>
          <w:b/>
          <w:bCs/>
          <w:sz w:val="16"/>
          <w:szCs w:val="16"/>
          <w:lang w:val="es-ES" w:eastAsia="es-CO" w:bidi="ar-SA"/>
        </w:rPr>
        <w:t xml:space="preserve"> el mecanismo debe definir el número de veces que razonablemente la entidad aseguradora debe evaluar los activos subyacentes dentro de la composición de un vehículo de inversión u otro tipo de esquema de inversión indirecta, con el fin de establecer su exposición. </w:t>
      </w:r>
    </w:p>
    <w:bookmarkEnd w:id="12"/>
    <w:p w:rsidR="00E97E26" w:rsidP="00BE660C" w14:paraId="31FCCB1C" w14:textId="77777777">
      <w:pPr>
        <w:pStyle w:val="ListParagraph"/>
        <w:ind w:left="0"/>
        <w:contextualSpacing/>
        <w:jc w:val="both"/>
        <w:rPr>
          <w:rFonts w:ascii="Arial" w:eastAsia="Times New Roman" w:hAnsi="Arial" w:cs="Arial"/>
          <w:b/>
          <w:sz w:val="16"/>
          <w:szCs w:val="16"/>
          <w:lang w:val="es-ES" w:eastAsia="es-CO" w:bidi="ar-SA"/>
        </w:rPr>
      </w:pPr>
    </w:p>
    <w:p w:rsidR="000506D4" w:rsidRPr="00CD186B" w:rsidP="00BE660C" w14:paraId="4A08CC96" w14:textId="77777777">
      <w:pPr>
        <w:pStyle w:val="ListParagraph"/>
        <w:ind w:left="0"/>
        <w:contextualSpacing/>
        <w:jc w:val="both"/>
        <w:rPr>
          <w:rFonts w:ascii="Arial" w:eastAsia="Times New Roman" w:hAnsi="Arial" w:cs="Arial"/>
          <w:b/>
          <w:sz w:val="16"/>
          <w:szCs w:val="16"/>
          <w:lang w:val="es-ES" w:eastAsia="es-CO" w:bidi="ar-SA"/>
        </w:rPr>
      </w:pPr>
      <w:r w:rsidRPr="00CD186B">
        <w:rPr>
          <w:rFonts w:ascii="Arial" w:eastAsia="Times New Roman" w:hAnsi="Arial" w:cs="Arial"/>
          <w:b/>
          <w:sz w:val="16"/>
          <w:szCs w:val="16"/>
          <w:lang w:val="es-ES" w:eastAsia="es-CO" w:bidi="ar-SA"/>
        </w:rPr>
        <w:t xml:space="preserve">2.3. Asignación de ingresos y egresos por ramo </w:t>
      </w:r>
    </w:p>
    <w:p w:rsidR="000506D4" w:rsidRPr="00CD186B" w:rsidP="00BE660C" w14:paraId="4E9D610C" w14:textId="77777777">
      <w:pPr>
        <w:pStyle w:val="ListParagraph"/>
        <w:ind w:left="0"/>
        <w:contextualSpacing/>
        <w:jc w:val="both"/>
        <w:rPr>
          <w:rFonts w:ascii="Arial" w:eastAsia="Times New Roman" w:hAnsi="Arial" w:cs="Arial"/>
          <w:b/>
          <w:sz w:val="16"/>
          <w:szCs w:val="16"/>
          <w:lang w:val="es-ES" w:eastAsia="es-CO" w:bidi="ar-SA"/>
        </w:rPr>
      </w:pPr>
    </w:p>
    <w:p w:rsidR="000506D4" w:rsidRPr="00CD186B" w:rsidP="00BE660C" w14:paraId="06A0D8F0"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2.3.1. Definiciones</w:t>
      </w:r>
    </w:p>
    <w:p w:rsidR="000506D4" w:rsidRPr="00CD186B" w:rsidP="00BE660C" w14:paraId="63AF1EEA" w14:textId="77777777">
      <w:pPr>
        <w:tabs>
          <w:tab w:val="left" w:pos="720"/>
          <w:tab w:val="left" w:pos="1064"/>
          <w:tab w:val="left" w:pos="2057"/>
        </w:tabs>
        <w:ind w:right="49"/>
        <w:jc w:val="both"/>
        <w:rPr>
          <w:rFonts w:ascii="Arial" w:eastAsia="Times New Roman" w:hAnsi="Arial" w:cs="Arial"/>
          <w:b/>
          <w:sz w:val="16"/>
          <w:szCs w:val="16"/>
          <w:lang w:val="es-ES" w:eastAsia="es-CO" w:bidi="ar-SA"/>
        </w:rPr>
      </w:pPr>
    </w:p>
    <w:p w:rsidR="000506D4" w:rsidRPr="00CD186B" w:rsidP="00BE660C" w14:paraId="5041EBE5"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Para los efectos de este capítulo, se tendrán en cuenta las siguientes definiciones:</w:t>
      </w:r>
    </w:p>
    <w:p w:rsidR="000506D4" w:rsidRPr="00CD186B" w:rsidP="00BE660C" w14:paraId="0C0397D2"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00E40EC9"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2.3.1.1. Ingresos y egresos asignables: Aquéllos que estén asociados al resultado técnico de los ramos o a los activos que respaldan las reservas técnicas. Éstos se clasifican en directos e indirectos.</w:t>
      </w:r>
    </w:p>
    <w:p w:rsidR="000506D4" w:rsidRPr="00CD186B" w:rsidP="00BE660C" w14:paraId="4817F109"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5986D311"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2.3.1.2. Ingresos y egresos no asignables: Aquéllos que no estén relacionados con el resultado técnico o a los activos que respaldan las reservas técnicas de los ramos operados por la entidad aseguradora, tales como multas, sanciones administrativas e indemnizaciones no atadas a las pólizas expedidas por la entidad aseguradora.</w:t>
      </w:r>
    </w:p>
    <w:p w:rsidR="000506D4" w:rsidRPr="00CD186B" w:rsidP="00BE660C" w14:paraId="245C0E97"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7AA88168"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2.3.1.3. Ingresos y egresos asignables directos: Aquéllos que se encuentran relacionados de manera específica con los procesos de desarrollo, comercialización, administración y recaudo de los productos asociados a un ramo determinado, así como aquéllos derivados de los activos que respaldan las reservas técnicas de cada ramo.</w:t>
      </w:r>
    </w:p>
    <w:p w:rsidR="000506D4" w:rsidRPr="00CD186B" w:rsidP="00BE660C" w14:paraId="2D7968B8"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25B33117"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2.3.1.4. Ingresos y egresos asignables indirectos: Corresponden a ingresos o egresos asignables, los cuales no pueden ser asociados a un ramo específico, por lo cual deben ser distribuidos entre todos los ramos que opere.</w:t>
      </w:r>
    </w:p>
    <w:p w:rsidR="000506D4" w:rsidRPr="00CD186B" w:rsidP="00BE660C" w14:paraId="666EF574"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49CB4286"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2.3.2. Deber de asignación de ingresos y egresos indirectos por ramo</w:t>
      </w:r>
    </w:p>
    <w:p w:rsidR="000506D4" w:rsidRPr="00CD186B" w:rsidP="00BE660C" w14:paraId="15C3F14A"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342855EC" w14:textId="28B39329">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Para efectos del cálculo de las reservas técnicas y para que la información transmitida en los distintos reportes corresponda con la realidad financiera de la operación de los ramos de seguros, las entidades aseguradoras deben distribuir la totalidad de los ingresos y egresos entre los distintos ramos.</w:t>
      </w:r>
      <w:r w:rsidR="00EA6D95">
        <w:rPr>
          <w:rFonts w:ascii="Arial" w:eastAsia="Times New Roman" w:hAnsi="Arial" w:cs="Arial"/>
          <w:sz w:val="16"/>
          <w:szCs w:val="16"/>
          <w:lang w:val="es-ES" w:eastAsia="es-CO" w:bidi="ar-SA"/>
        </w:rPr>
        <w:t xml:space="preserve"> </w:t>
      </w:r>
      <w:r w:rsidRPr="00CD186B">
        <w:rPr>
          <w:rFonts w:ascii="Arial" w:eastAsia="Times New Roman" w:hAnsi="Arial" w:cs="Arial"/>
          <w:sz w:val="16"/>
          <w:szCs w:val="16"/>
          <w:lang w:val="es-ES" w:eastAsia="es-CO" w:bidi="ar-SA"/>
        </w:rPr>
        <w:t>Para aquellos ingresos y egresos asignables directos, su distribución debe corresponder con el ramo asociado. En el caso de ingresos y egresos asignables</w:t>
      </w:r>
      <w:r w:rsidRPr="00CD186B">
        <w:rPr>
          <w:rFonts w:ascii="Arial" w:eastAsia="Times New Roman" w:hAnsi="Arial" w:cs="Arial"/>
          <w:sz w:val="16"/>
          <w:szCs w:val="16"/>
          <w:lang w:val="es-ES" w:eastAsia="es-CO" w:bidi="ar-SA"/>
        </w:rPr>
        <w:t xml:space="preserve"> </w:t>
      </w:r>
      <w:r w:rsidRPr="00CD186B">
        <w:rPr>
          <w:rFonts w:ascii="Arial" w:eastAsia="Times New Roman" w:hAnsi="Arial" w:cs="Arial"/>
          <w:sz w:val="16"/>
          <w:szCs w:val="16"/>
          <w:lang w:val="es-ES" w:eastAsia="es-CO" w:bidi="ar-SA"/>
        </w:rPr>
        <w:t>indirectos, la entidad aseguradora debe distribuirlos entre los diferentes ramos que opera, con base en una metodología propia o la metodología estándar atendiendo a lo establecido en el subnumeral 2.3.3 de este capítulo, según corresponda.</w:t>
      </w:r>
    </w:p>
    <w:p w:rsidR="000506D4" w:rsidRPr="00CD186B" w:rsidP="00BE660C" w14:paraId="0A751475"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489E7830"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2.3.3. Metodologías aplicables</w:t>
      </w:r>
    </w:p>
    <w:p w:rsidR="000506D4" w:rsidRPr="00CD186B" w:rsidP="00BE660C" w14:paraId="02759F4F"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756D5351"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2.3.3.1. Metodología Propia</w:t>
      </w:r>
    </w:p>
    <w:p w:rsidR="000506D4" w:rsidRPr="00CD186B" w:rsidP="00BE660C" w14:paraId="7E223E6A"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38FCADE4" w14:textId="5D58F3BC">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Las entidades aseguradoras pueden aplicar una metodología de distribución de ingresos y egresos asignables indirectos que se adapte a su modelo de negocio. En el evento en que la entidad aseguradora se acoja a una metodología propia, ésta debe ser aprobada por su junta directiva y cumplir con los siguientes criterios para la distribución de los ingresos y egresos asignables indirectos:</w:t>
      </w:r>
    </w:p>
    <w:p w:rsidR="000506D4" w:rsidRPr="00CD186B" w:rsidP="00BE660C" w14:paraId="50A7E157"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537C9475"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2.3.3.1.1. Ser coherente y consistente con su estructura de negocio y con las notas técnicas de sus productos.</w:t>
      </w:r>
    </w:p>
    <w:p w:rsidR="000506D4" w:rsidRPr="00CD186B" w:rsidP="00BE660C" w14:paraId="6D581BC7"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2.3.3.1.2. Ser aplicable a todos los ramos sin excepción alguna.</w:t>
      </w:r>
    </w:p>
    <w:p w:rsidR="000506D4" w:rsidRPr="00CD186B" w:rsidP="00BE660C" w14:paraId="682E81E0"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2.3.3.1.3. Ser coherente con lo establecido en las notas de los estados financieros de fin de ejercicio.</w:t>
      </w:r>
    </w:p>
    <w:p w:rsidR="000506D4" w:rsidRPr="00CD186B" w:rsidP="00BE660C" w14:paraId="5B394D75"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 xml:space="preserve">2.3.3.1.4. Ser la misma utilizada en la elaboración y presentación de formatos de revelación de información. </w:t>
      </w:r>
    </w:p>
    <w:p w:rsidR="000506D4" w:rsidRPr="00CD186B" w:rsidP="00BE660C" w14:paraId="405D6E9A"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RPr="00CD186B" w:rsidP="00BE660C" w14:paraId="5B68CF67"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CD186B">
        <w:rPr>
          <w:rFonts w:ascii="Arial" w:eastAsia="Times New Roman" w:hAnsi="Arial" w:cs="Arial"/>
          <w:sz w:val="16"/>
          <w:szCs w:val="16"/>
          <w:lang w:val="es-ES" w:eastAsia="es-CO" w:bidi="ar-SA"/>
        </w:rPr>
        <w:t>Las entidades aseguradoras deben remitir a la SFC el documento técnico que contenga las características de la Metodología Propia. Es deber de las entidades aseguradoras informar y justificar las modificaciones hechas a dicha metodología, actualizar y mantener a disposición de la SFC la documentación correspondiente. En el evento en que se efectúen modificaciones a la Metodología Propia, éstas serán aplicables únicamente a partir del siguiente año fiscal. La SFC puede exigir en cualquier momento a las entidades aseguradoras la adopción de la Metodología Estándar, establecida en el subnumeral 2.3.3.2 de este capítulo.</w:t>
      </w:r>
    </w:p>
    <w:p w:rsidR="000506D4" w:rsidP="00BE660C" w14:paraId="5EE98ADE"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0506D4" w:rsidP="00BE660C" w14:paraId="4081486E" w14:textId="28E7D77A">
      <w:pPr>
        <w:tabs>
          <w:tab w:val="left" w:pos="720"/>
          <w:tab w:val="left" w:pos="1064"/>
          <w:tab w:val="left" w:pos="2057"/>
        </w:tabs>
        <w:ind w:right="49"/>
        <w:jc w:val="both"/>
        <w:rPr>
          <w:rFonts w:ascii="Arial" w:eastAsia="Times New Roman" w:hAnsi="Arial" w:cs="Arial"/>
          <w:sz w:val="16"/>
          <w:szCs w:val="16"/>
          <w:lang w:val="es-ES" w:eastAsia="es-CO" w:bidi="ar-SA"/>
        </w:rPr>
      </w:pPr>
      <w:r w:rsidRPr="00866976">
        <w:rPr>
          <w:rFonts w:ascii="Arial" w:eastAsia="Times New Roman" w:hAnsi="Arial" w:cs="Arial"/>
          <w:sz w:val="16"/>
          <w:szCs w:val="16"/>
          <w:lang w:val="es-ES" w:eastAsia="es-CO" w:bidi="ar-SA"/>
        </w:rPr>
        <w:t xml:space="preserve">2.3.3.2. Metodología Estándar </w:t>
      </w:r>
    </w:p>
    <w:p w:rsidR="00EA6D95" w:rsidRPr="00866976" w:rsidP="00BE660C" w14:paraId="61421F09" w14:textId="77777777">
      <w:pPr>
        <w:tabs>
          <w:tab w:val="left" w:pos="720"/>
          <w:tab w:val="left" w:pos="1064"/>
          <w:tab w:val="left" w:pos="2057"/>
        </w:tabs>
        <w:ind w:right="49"/>
        <w:jc w:val="both"/>
        <w:rPr>
          <w:rFonts w:ascii="Arial" w:eastAsia="Times New Roman" w:hAnsi="Arial" w:cs="Arial"/>
          <w:sz w:val="16"/>
          <w:szCs w:val="16"/>
          <w:lang w:val="es-ES" w:eastAsia="es-CO" w:bidi="ar-SA"/>
        </w:rPr>
      </w:pPr>
    </w:p>
    <w:p w:rsidR="00CF17D5" w:rsidRPr="006D3075" w:rsidP="006D3075" w14:paraId="1F57506E" w14:textId="77777777">
      <w:pPr>
        <w:tabs>
          <w:tab w:val="left" w:pos="720"/>
          <w:tab w:val="left" w:pos="1064"/>
          <w:tab w:val="left" w:pos="2057"/>
        </w:tabs>
        <w:ind w:right="49"/>
        <w:jc w:val="both"/>
        <w:rPr>
          <w:rFonts w:ascii="Arial" w:eastAsia="Times New Roman" w:hAnsi="Arial" w:cs="Arial"/>
          <w:sz w:val="16"/>
          <w:szCs w:val="16"/>
          <w:lang w:val="es-ES" w:eastAsia="es-CO" w:bidi="ar-SA"/>
        </w:rPr>
      </w:pPr>
      <w:r w:rsidRPr="00866976">
        <w:rPr>
          <w:rFonts w:ascii="Arial" w:eastAsia="Times New Roman" w:hAnsi="Arial" w:cs="Arial"/>
          <w:sz w:val="16"/>
          <w:szCs w:val="16"/>
          <w:lang w:val="es-ES" w:eastAsia="es-CO" w:bidi="ar-SA"/>
        </w:rPr>
        <w:t>Los ingresos y egresos asignables indirectos deben distribuirse entre los ramos, según la Metodología Estándar aquí establecida, en el evento en que la entidad aseguradora no cuente con una Metodología Propia. La metodología estándar se desarrolla conforme a los siguientes parámetros:</w:t>
      </w:r>
    </w:p>
    <w:p>
      <w:pPr>
        <w:spacing w:before="0" w:after="0"/>
        <w:rPr>
          <w:sz w:val="0"/>
          <w:szCs w:val="0"/>
        </w:rPr>
        <w:sectPr w:rsidSect="00B269D7">
          <w:footerReference w:type="default" r:id="rId25"/>
          <w:pgSz w:w="12240" w:h="18720" w:code="257"/>
          <w:pgMar w:top="1417" w:right="1701" w:bottom="1417" w:left="1701" w:header="0" w:footer="865" w:gutter="0"/>
          <w:pgNumType w:start="31"/>
          <w:cols w:space="708"/>
          <w:docGrid w:linePitch="360"/>
        </w:sectPr>
      </w:pPr>
    </w:p>
    <w:p w:rsidR="00A66B7B" w:rsidRPr="002429DC" w:rsidP="00DB1073" w14:paraId="202FFA3E" w14:textId="77777777">
      <w:pPr>
        <w:pStyle w:val="Heading1"/>
        <w:keepNext w:val="0"/>
        <w:pBdr>
          <w:left w:val="single" w:sz="4" w:space="1" w:color="auto"/>
        </w:pBdr>
        <w:spacing w:before="0" w:after="0"/>
        <w:jc w:val="center"/>
        <w:rPr>
          <w:caps/>
        </w:rPr>
      </w:pPr>
      <w:r w:rsidRPr="002429DC">
        <w:rPr>
          <w:caps/>
        </w:rPr>
        <w:t>Anexo</w:t>
      </w:r>
      <w:r w:rsidRPr="002429DC" w:rsidR="00352CF4">
        <w:rPr>
          <w:caps/>
        </w:rPr>
        <w:t xml:space="preserve"> 1</w:t>
      </w:r>
      <w:r w:rsidRPr="002429DC" w:rsidR="00755F86">
        <w:rPr>
          <w:caps/>
        </w:rPr>
        <w:t>5</w:t>
      </w:r>
      <w:r w:rsidRPr="002429DC" w:rsidR="6FDC29CF">
        <w:rPr>
          <w:caps/>
        </w:rPr>
        <w:t>:</w:t>
      </w:r>
      <w:bookmarkStart w:id="13" w:name="_Toc267211378"/>
      <w:r w:rsidRPr="002429DC">
        <w:rPr>
          <w:caps/>
        </w:rPr>
        <w:t xml:space="preserve"> POLÍTICAS DE INVERSIÓN</w:t>
      </w:r>
      <w:r w:rsidRPr="002429DC" w:rsidR="127BA386">
        <w:rPr>
          <w:caps/>
        </w:rPr>
        <w:t xml:space="preserve"> </w:t>
      </w:r>
      <w:r w:rsidRPr="002429DC">
        <w:rPr>
          <w:caps/>
        </w:rPr>
        <w:t xml:space="preserve">Y </w:t>
      </w:r>
      <w:bookmarkEnd w:id="13"/>
      <w:r w:rsidRPr="002429DC" w:rsidR="007B6A21">
        <w:rPr>
          <w:caps/>
        </w:rPr>
        <w:t>gobernanza de</w:t>
      </w:r>
      <w:r w:rsidRPr="002429DC" w:rsidR="00E15EB6">
        <w:rPr>
          <w:caps/>
        </w:rPr>
        <w:t xml:space="preserve"> LA GESTIÓN DE LAS INVERSIONES</w:t>
      </w:r>
      <w:r w:rsidRPr="002429DC" w:rsidR="00FE6086">
        <w:rPr>
          <w:caps/>
        </w:rPr>
        <w:t xml:space="preserve"> de las entidades aseguradoras</w:t>
      </w:r>
    </w:p>
    <w:p w:rsidR="005E2D72" w:rsidRPr="002A5D10" w:rsidP="00DB1073" w14:paraId="6B9FD970" w14:textId="77777777">
      <w:pPr>
        <w:pBdr>
          <w:left w:val="single" w:sz="4" w:space="1" w:color="auto"/>
        </w:pBdr>
        <w:rPr>
          <w:rFonts w:cs="Arial"/>
          <w:sz w:val="16"/>
          <w:szCs w:val="16"/>
        </w:rPr>
      </w:pPr>
    </w:p>
    <w:p w:rsidR="005E2D72" w:rsidRPr="002A5D10" w:rsidP="00DB1073" w14:paraId="6E659160" w14:textId="77777777">
      <w:pPr>
        <w:pBdr>
          <w:left w:val="single" w:sz="4" w:space="1" w:color="auto"/>
        </w:pBdr>
        <w:rPr>
          <w:rFonts w:cs="Arial"/>
          <w:sz w:val="16"/>
          <w:szCs w:val="16"/>
        </w:rPr>
      </w:pPr>
    </w:p>
    <w:p w:rsidR="0217C2A7" w:rsidRPr="00060A2B" w:rsidP="00DB1073" w14:paraId="4986FB19" w14:textId="44EC49CA">
      <w:pPr>
        <w:pBdr>
          <w:left w:val="single" w:sz="4" w:space="1" w:color="auto"/>
        </w:pBdr>
        <w:rPr>
          <w:rFonts w:cs="Arial"/>
          <w:sz w:val="16"/>
          <w:szCs w:val="16"/>
          <w:lang w:val="es-ES"/>
        </w:rPr>
      </w:pPr>
      <w:r w:rsidRPr="00060A2B">
        <w:rPr>
          <w:rFonts w:eastAsia="Times" w:cs="Arial"/>
          <w:sz w:val="16"/>
          <w:szCs w:val="16"/>
          <w:lang w:val="es-ES"/>
        </w:rPr>
        <w:t>Corresponde a la junta directiva de las entidades aseguradoras adoptar</w:t>
      </w:r>
      <w:r w:rsidRPr="00060A2B" w:rsidR="000F0C19">
        <w:rPr>
          <w:rFonts w:eastAsia="Times" w:cs="Arial"/>
          <w:sz w:val="16"/>
          <w:szCs w:val="16"/>
          <w:lang w:val="es-ES"/>
        </w:rPr>
        <w:t xml:space="preserve"> y hacer seguimiento a</w:t>
      </w:r>
      <w:r w:rsidRPr="00060A2B">
        <w:rPr>
          <w:rFonts w:eastAsia="Times" w:cs="Arial"/>
          <w:sz w:val="16"/>
          <w:szCs w:val="16"/>
          <w:lang w:val="es-ES"/>
        </w:rPr>
        <w:t xml:space="preserve"> la política de inversión</w:t>
      </w:r>
      <w:r w:rsidRPr="00060A2B" w:rsidR="00FB5B95">
        <w:rPr>
          <w:rFonts w:eastAsia="Times" w:cs="Arial"/>
          <w:sz w:val="16"/>
          <w:szCs w:val="16"/>
          <w:lang w:val="es-ES"/>
        </w:rPr>
        <w:t xml:space="preserve"> </w:t>
      </w:r>
      <w:r w:rsidRPr="00060A2B">
        <w:rPr>
          <w:rFonts w:eastAsia="Times" w:cs="Arial"/>
          <w:sz w:val="16"/>
          <w:szCs w:val="16"/>
          <w:lang w:val="es-ES"/>
        </w:rPr>
        <w:t xml:space="preserve">de </w:t>
      </w:r>
      <w:r w:rsidRPr="00060A2B" w:rsidR="00440DC4">
        <w:rPr>
          <w:rFonts w:eastAsia="Times" w:cs="Arial"/>
          <w:sz w:val="16"/>
          <w:szCs w:val="16"/>
          <w:lang w:val="es-ES"/>
        </w:rPr>
        <w:t xml:space="preserve">los </w:t>
      </w:r>
      <w:r w:rsidRPr="00060A2B">
        <w:rPr>
          <w:rFonts w:eastAsia="Times" w:cs="Arial"/>
          <w:sz w:val="16"/>
          <w:szCs w:val="16"/>
          <w:lang w:val="es-ES"/>
        </w:rPr>
        <w:t xml:space="preserve">activos </w:t>
      </w:r>
      <w:r w:rsidRPr="00060A2B" w:rsidR="00440DC4">
        <w:rPr>
          <w:rFonts w:eastAsia="Times" w:cs="Arial"/>
          <w:sz w:val="16"/>
          <w:szCs w:val="16"/>
          <w:lang w:val="es-ES"/>
        </w:rPr>
        <w:t>que respaldan las reservas técnicas y demás activos</w:t>
      </w:r>
      <w:r w:rsidRPr="00060A2B" w:rsidR="003D53F5">
        <w:rPr>
          <w:rFonts w:eastAsia="Times" w:cs="Arial"/>
          <w:sz w:val="16"/>
          <w:szCs w:val="16"/>
          <w:lang w:val="es-ES"/>
        </w:rPr>
        <w:t>,</w:t>
      </w:r>
      <w:r w:rsidRPr="00060A2B">
        <w:rPr>
          <w:rFonts w:eastAsia="Times" w:cs="Arial"/>
          <w:sz w:val="16"/>
          <w:szCs w:val="16"/>
          <w:lang w:val="es-ES"/>
        </w:rPr>
        <w:t xml:space="preserve"> de conformidad con </w:t>
      </w:r>
      <w:r w:rsidRPr="00060A2B" w:rsidR="00A505E8">
        <w:rPr>
          <w:rFonts w:eastAsia="Times" w:cs="Arial"/>
          <w:sz w:val="16"/>
          <w:szCs w:val="16"/>
          <w:lang w:val="es-ES"/>
        </w:rPr>
        <w:t xml:space="preserve">las políticas y </w:t>
      </w:r>
      <w:r w:rsidRPr="00060A2B" w:rsidR="000722E1">
        <w:rPr>
          <w:rFonts w:eastAsia="Times" w:cs="Arial"/>
          <w:sz w:val="16"/>
          <w:szCs w:val="16"/>
          <w:lang w:val="es-ES"/>
        </w:rPr>
        <w:t xml:space="preserve">atendiendo </w:t>
      </w:r>
      <w:r w:rsidRPr="00060A2B">
        <w:rPr>
          <w:rFonts w:eastAsia="Times" w:cs="Arial"/>
          <w:sz w:val="16"/>
          <w:szCs w:val="16"/>
          <w:lang w:val="es-ES"/>
        </w:rPr>
        <w:t>lo establecido en la normatividad vigente</w:t>
      </w:r>
      <w:r w:rsidRPr="00060A2B" w:rsidR="00CC2130">
        <w:rPr>
          <w:rFonts w:eastAsia="Times" w:cs="Arial"/>
          <w:sz w:val="16"/>
          <w:szCs w:val="16"/>
          <w:lang w:val="es-ES"/>
        </w:rPr>
        <w:t>.</w:t>
      </w:r>
      <w:r w:rsidRPr="00060A2B" w:rsidR="00FB5B95">
        <w:rPr>
          <w:rFonts w:eastAsia="Times" w:cs="Arial"/>
          <w:sz w:val="16"/>
          <w:szCs w:val="16"/>
          <w:lang w:val="es-ES"/>
        </w:rPr>
        <w:t xml:space="preserve"> </w:t>
      </w:r>
      <w:r w:rsidRPr="00060A2B" w:rsidR="00FB5B95">
        <w:rPr>
          <w:rFonts w:cs="Arial"/>
          <w:sz w:val="16"/>
          <w:szCs w:val="16"/>
          <w:lang w:val="es-CO"/>
        </w:rPr>
        <w:t>Para tal fin, a continuación se establece el contenido mínimo de las políticas de inversión, y las responsabilidades de la junta directiva y la auditoría interna en relación con dicha política y sus deberes de documentación y reporte.</w:t>
      </w:r>
    </w:p>
    <w:p w:rsidR="00A66B7B" w:rsidRPr="00060A2B" w:rsidP="00DB1073" w14:paraId="5A5BC539" w14:textId="77777777">
      <w:pPr>
        <w:pBdr>
          <w:left w:val="single" w:sz="4" w:space="1" w:color="auto"/>
        </w:pBdr>
        <w:rPr>
          <w:rFonts w:cs="Arial"/>
          <w:sz w:val="16"/>
          <w:szCs w:val="16"/>
        </w:rPr>
      </w:pPr>
    </w:p>
    <w:p w:rsidR="00C33FF9" w:rsidRPr="00060A2B" w:rsidP="00DB1073" w14:paraId="0DA9FF11" w14:textId="77777777">
      <w:pPr>
        <w:pBdr>
          <w:left w:val="single" w:sz="4" w:space="1" w:color="auto"/>
        </w:pBdr>
        <w:rPr>
          <w:rFonts w:cs="Arial"/>
          <w:sz w:val="12"/>
          <w:szCs w:val="16"/>
        </w:rPr>
      </w:pPr>
    </w:p>
    <w:p w:rsidR="00A66B7B" w:rsidRPr="00560D2E" w:rsidP="00DB1073" w14:paraId="4DAADD1B" w14:textId="77777777">
      <w:pPr>
        <w:pStyle w:val="Heading2"/>
        <w:pBdr>
          <w:left w:val="single" w:sz="4" w:space="1" w:color="auto"/>
        </w:pBdr>
        <w:spacing w:before="0" w:after="0"/>
      </w:pPr>
      <w:bookmarkStart w:id="14" w:name="_Toc267211379"/>
      <w:r w:rsidRPr="00560D2E">
        <w:t>1. Políticas de inversión</w:t>
      </w:r>
      <w:bookmarkEnd w:id="14"/>
    </w:p>
    <w:p w:rsidR="00A66B7B" w:rsidRPr="002A5D10" w:rsidP="00DB1073" w14:paraId="2EF13BE9" w14:textId="77777777">
      <w:pPr>
        <w:pBdr>
          <w:left w:val="single" w:sz="4" w:space="1" w:color="auto"/>
        </w:pBdr>
        <w:rPr>
          <w:rFonts w:eastAsia="Arial Unicode MS"/>
          <w:sz w:val="14"/>
        </w:rPr>
      </w:pPr>
    </w:p>
    <w:p w:rsidR="000C531B" w:rsidRPr="00060A2B" w:rsidP="00DB1073" w14:paraId="77943115" w14:textId="2A441995">
      <w:pPr>
        <w:pBdr>
          <w:left w:val="single" w:sz="4" w:space="1" w:color="auto"/>
        </w:pBdr>
        <w:rPr>
          <w:rFonts w:cs="Arial"/>
          <w:sz w:val="16"/>
          <w:szCs w:val="16"/>
        </w:rPr>
      </w:pPr>
      <w:r w:rsidRPr="002A5D10">
        <w:rPr>
          <w:rFonts w:cs="Arial"/>
          <w:sz w:val="16"/>
          <w:szCs w:val="16"/>
        </w:rPr>
        <w:t>La p</w:t>
      </w:r>
      <w:r w:rsidRPr="009A7D47" w:rsidR="00EE0F5B">
        <w:rPr>
          <w:rFonts w:cs="Arial"/>
          <w:sz w:val="16"/>
          <w:szCs w:val="16"/>
        </w:rPr>
        <w:t xml:space="preserve">olítica de </w:t>
      </w:r>
      <w:r w:rsidRPr="00060A2B" w:rsidR="00EE0F5B">
        <w:rPr>
          <w:rFonts w:cs="Arial"/>
          <w:sz w:val="16"/>
          <w:szCs w:val="16"/>
        </w:rPr>
        <w:t>inversión de</w:t>
      </w:r>
      <w:r w:rsidRPr="00060A2B" w:rsidR="002A1399">
        <w:rPr>
          <w:rFonts w:cs="Arial"/>
          <w:sz w:val="16"/>
          <w:szCs w:val="16"/>
        </w:rPr>
        <w:t xml:space="preserve"> las entidades aseguradoras de que trata</w:t>
      </w:r>
      <w:r w:rsidRPr="00060A2B" w:rsidR="23D941BB">
        <w:rPr>
          <w:rFonts w:cs="Arial"/>
          <w:sz w:val="16"/>
          <w:szCs w:val="16"/>
        </w:rPr>
        <w:t xml:space="preserve"> el Título 3 del Libro 31 de la Parte 2 </w:t>
      </w:r>
      <w:r w:rsidRPr="00060A2B" w:rsidR="0097035E">
        <w:rPr>
          <w:rFonts w:cs="Arial"/>
          <w:sz w:val="16"/>
          <w:szCs w:val="16"/>
        </w:rPr>
        <w:t>del Decreto 2555 de 2010</w:t>
      </w:r>
      <w:r w:rsidRPr="00060A2B" w:rsidR="00212ECA">
        <w:rPr>
          <w:rFonts w:cs="Arial"/>
          <w:sz w:val="16"/>
          <w:szCs w:val="16"/>
        </w:rPr>
        <w:t xml:space="preserve"> </w:t>
      </w:r>
      <w:r w:rsidRPr="00060A2B" w:rsidR="2CD48A04">
        <w:rPr>
          <w:rFonts w:cs="Arial"/>
          <w:sz w:val="16"/>
          <w:szCs w:val="16"/>
        </w:rPr>
        <w:t xml:space="preserve">y demás disposiciones concordantes </w:t>
      </w:r>
      <w:r w:rsidRPr="00060A2B" w:rsidR="00A93171">
        <w:rPr>
          <w:rFonts w:cs="Arial"/>
          <w:sz w:val="16"/>
          <w:szCs w:val="16"/>
        </w:rPr>
        <w:t>debe contener</w:t>
      </w:r>
      <w:r w:rsidRPr="00060A2B" w:rsidR="00637CC7">
        <w:rPr>
          <w:rFonts w:cs="Arial"/>
          <w:sz w:val="16"/>
          <w:szCs w:val="16"/>
        </w:rPr>
        <w:t>,</w:t>
      </w:r>
      <w:r w:rsidRPr="00060A2B" w:rsidR="00A93171">
        <w:rPr>
          <w:rFonts w:cs="Arial"/>
          <w:sz w:val="16"/>
          <w:szCs w:val="16"/>
        </w:rPr>
        <w:t xml:space="preserve"> como mínimo</w:t>
      </w:r>
      <w:r w:rsidRPr="00060A2B">
        <w:rPr>
          <w:rFonts w:cs="Arial"/>
          <w:sz w:val="16"/>
          <w:szCs w:val="16"/>
        </w:rPr>
        <w:t>, la siguiente información:</w:t>
      </w:r>
    </w:p>
    <w:p w:rsidR="000C531B" w:rsidRPr="00060A2B" w:rsidP="00DB1073" w14:paraId="0B2BF1DC" w14:textId="77777777">
      <w:pPr>
        <w:pBdr>
          <w:left w:val="single" w:sz="4" w:space="1" w:color="auto"/>
        </w:pBdr>
        <w:rPr>
          <w:rFonts w:cs="Arial"/>
          <w:sz w:val="16"/>
          <w:szCs w:val="16"/>
        </w:rPr>
      </w:pPr>
    </w:p>
    <w:p w:rsidR="000C531B" w:rsidRPr="00111A94" w:rsidP="00DB1073" w14:paraId="2FEA48E2" w14:textId="2CC7ECEC">
      <w:pPr>
        <w:pBdr>
          <w:left w:val="single" w:sz="4" w:space="1" w:color="auto"/>
        </w:pBdr>
        <w:autoSpaceDE w:val="0"/>
        <w:autoSpaceDN w:val="0"/>
        <w:adjustRightInd w:val="0"/>
        <w:rPr>
          <w:rFonts w:eastAsia="Arial Unicode MS" w:cs="Arial"/>
          <w:sz w:val="16"/>
          <w:szCs w:val="16"/>
        </w:rPr>
      </w:pPr>
      <w:r w:rsidRPr="00060A2B">
        <w:rPr>
          <w:rFonts w:cs="Arial"/>
          <w:sz w:val="16"/>
          <w:szCs w:val="16"/>
        </w:rPr>
        <w:t xml:space="preserve">1.1. Objetivos de </w:t>
      </w:r>
      <w:r w:rsidRPr="00060A2B" w:rsidR="00C70D46">
        <w:rPr>
          <w:rFonts w:cs="Arial"/>
          <w:sz w:val="16"/>
          <w:szCs w:val="16"/>
        </w:rPr>
        <w:t>la política de inversión</w:t>
      </w:r>
      <w:r w:rsidRPr="00060A2B" w:rsidR="005D5E5E">
        <w:rPr>
          <w:rFonts w:cs="Arial"/>
          <w:sz w:val="16"/>
          <w:szCs w:val="16"/>
        </w:rPr>
        <w:t>,</w:t>
      </w:r>
      <w:r w:rsidRPr="00560D2E" w:rsidR="007A1742">
        <w:rPr>
          <w:rFonts w:cs="Arial"/>
          <w:sz w:val="16"/>
          <w:szCs w:val="16"/>
        </w:rPr>
        <w:t xml:space="preserve"> </w:t>
      </w:r>
      <w:r w:rsidRPr="002A5D10" w:rsidR="007A1742">
        <w:rPr>
          <w:rFonts w:cs="Arial"/>
          <w:sz w:val="16"/>
          <w:szCs w:val="16"/>
        </w:rPr>
        <w:t>los cuales deben</w:t>
      </w:r>
      <w:r w:rsidRPr="002A5D10" w:rsidR="005864C1">
        <w:rPr>
          <w:rFonts w:cs="Arial"/>
          <w:sz w:val="16"/>
          <w:szCs w:val="16"/>
        </w:rPr>
        <w:t xml:space="preserve"> </w:t>
      </w:r>
      <w:r w:rsidRPr="00060A2B" w:rsidR="00637CC7">
        <w:rPr>
          <w:rFonts w:cs="Arial"/>
          <w:sz w:val="16"/>
          <w:szCs w:val="16"/>
        </w:rPr>
        <w:t>atender</w:t>
      </w:r>
      <w:r w:rsidRPr="00060A2B" w:rsidR="007A1742">
        <w:rPr>
          <w:rFonts w:cs="Arial"/>
          <w:sz w:val="16"/>
          <w:szCs w:val="16"/>
        </w:rPr>
        <w:t xml:space="preserve"> </w:t>
      </w:r>
      <w:r w:rsidRPr="00060A2B" w:rsidR="001801A1">
        <w:rPr>
          <w:rFonts w:cs="Arial"/>
          <w:sz w:val="16"/>
          <w:szCs w:val="16"/>
        </w:rPr>
        <w:t>por lo menos</w:t>
      </w:r>
      <w:r w:rsidRPr="00060A2B" w:rsidR="007A1742">
        <w:rPr>
          <w:rFonts w:cs="Arial"/>
          <w:sz w:val="16"/>
          <w:szCs w:val="16"/>
        </w:rPr>
        <w:t xml:space="preserve"> </w:t>
      </w:r>
      <w:r w:rsidRPr="00060A2B" w:rsidR="003D1571">
        <w:rPr>
          <w:rFonts w:cs="Arial"/>
          <w:sz w:val="16"/>
          <w:szCs w:val="16"/>
        </w:rPr>
        <w:t xml:space="preserve">a: </w:t>
      </w:r>
      <w:r w:rsidRPr="00060A2B" w:rsidR="004C0B36">
        <w:rPr>
          <w:rFonts w:cs="Arial"/>
          <w:sz w:val="16"/>
          <w:szCs w:val="16"/>
        </w:rPr>
        <w:t xml:space="preserve">(i) </w:t>
      </w:r>
      <w:r w:rsidRPr="00060A2B" w:rsidR="007A1742">
        <w:rPr>
          <w:rFonts w:cs="Arial"/>
          <w:sz w:val="16"/>
          <w:szCs w:val="16"/>
        </w:rPr>
        <w:t>la naturaleza, duración y moneda</w:t>
      </w:r>
      <w:r w:rsidRPr="00060A2B" w:rsidR="00222724">
        <w:rPr>
          <w:rFonts w:cs="Arial"/>
          <w:sz w:val="16"/>
          <w:szCs w:val="16"/>
        </w:rPr>
        <w:t>s</w:t>
      </w:r>
      <w:r w:rsidRPr="00060A2B" w:rsidR="007A1742">
        <w:rPr>
          <w:rFonts w:cs="Arial"/>
          <w:sz w:val="16"/>
          <w:szCs w:val="16"/>
        </w:rPr>
        <w:t xml:space="preserve"> </w:t>
      </w:r>
      <w:r w:rsidRPr="00060A2B" w:rsidR="007D41AD">
        <w:rPr>
          <w:rFonts w:cs="Arial"/>
          <w:sz w:val="16"/>
          <w:szCs w:val="16"/>
        </w:rPr>
        <w:t>subyacentes a las obligaciones por contra</w:t>
      </w:r>
      <w:r w:rsidRPr="00060A2B" w:rsidR="0019121E">
        <w:rPr>
          <w:rFonts w:cs="Arial"/>
          <w:sz w:val="16"/>
          <w:szCs w:val="16"/>
        </w:rPr>
        <w:t>tos de seguro y reaseguro</w:t>
      </w:r>
      <w:r w:rsidRPr="00060A2B" w:rsidR="009C7AF9">
        <w:rPr>
          <w:rFonts w:cs="Arial"/>
          <w:sz w:val="16"/>
          <w:szCs w:val="16"/>
        </w:rPr>
        <w:t xml:space="preserve">, </w:t>
      </w:r>
      <w:r w:rsidRPr="00060A2B" w:rsidR="004C0B36">
        <w:rPr>
          <w:rFonts w:cs="Arial"/>
          <w:sz w:val="16"/>
          <w:szCs w:val="16"/>
        </w:rPr>
        <w:t xml:space="preserve">(ii) el </w:t>
      </w:r>
      <w:r w:rsidRPr="00060A2B" w:rsidR="007A1742">
        <w:rPr>
          <w:rFonts w:cs="Arial"/>
          <w:sz w:val="16"/>
          <w:szCs w:val="16"/>
        </w:rPr>
        <w:t xml:space="preserve">calce </w:t>
      </w:r>
      <w:r w:rsidRPr="00060A2B" w:rsidR="008531D4">
        <w:rPr>
          <w:rFonts w:cs="Arial"/>
          <w:sz w:val="16"/>
          <w:szCs w:val="16"/>
        </w:rPr>
        <w:t xml:space="preserve">adecuado </w:t>
      </w:r>
      <w:r w:rsidRPr="00060A2B" w:rsidR="007A1742">
        <w:rPr>
          <w:rFonts w:cs="Arial"/>
          <w:sz w:val="16"/>
          <w:szCs w:val="16"/>
        </w:rPr>
        <w:t>de plazo</w:t>
      </w:r>
      <w:r w:rsidRPr="00060A2B" w:rsidR="00637CC7">
        <w:rPr>
          <w:rFonts w:cs="Arial"/>
          <w:sz w:val="16"/>
          <w:szCs w:val="16"/>
        </w:rPr>
        <w:t>s</w:t>
      </w:r>
      <w:r w:rsidRPr="00060A2B" w:rsidR="007A1742">
        <w:rPr>
          <w:rFonts w:cs="Arial"/>
          <w:sz w:val="16"/>
          <w:szCs w:val="16"/>
        </w:rPr>
        <w:t xml:space="preserve"> y tasas entre </w:t>
      </w:r>
      <w:r w:rsidRPr="00060A2B" w:rsidR="004C0B36">
        <w:rPr>
          <w:rFonts w:cs="Arial"/>
          <w:sz w:val="16"/>
          <w:szCs w:val="16"/>
        </w:rPr>
        <w:t>los</w:t>
      </w:r>
      <w:r w:rsidRPr="00060A2B" w:rsidR="007A1742">
        <w:rPr>
          <w:rFonts w:cs="Arial"/>
          <w:sz w:val="16"/>
          <w:szCs w:val="16"/>
        </w:rPr>
        <w:t xml:space="preserve"> activos y pasivos, </w:t>
      </w:r>
      <w:r w:rsidRPr="00060A2B" w:rsidR="00FC7A92">
        <w:rPr>
          <w:rFonts w:cs="Arial"/>
          <w:sz w:val="16"/>
          <w:szCs w:val="16"/>
        </w:rPr>
        <w:t>y (iii)</w:t>
      </w:r>
      <w:r w:rsidRPr="00060A2B" w:rsidR="007A1742">
        <w:rPr>
          <w:rFonts w:cs="Arial"/>
          <w:sz w:val="16"/>
          <w:szCs w:val="16"/>
        </w:rPr>
        <w:t xml:space="preserve"> </w:t>
      </w:r>
      <w:r w:rsidRPr="00060A2B" w:rsidR="71FC6287">
        <w:rPr>
          <w:rFonts w:cs="Arial"/>
          <w:sz w:val="16"/>
          <w:szCs w:val="16"/>
        </w:rPr>
        <w:t xml:space="preserve">las </w:t>
      </w:r>
      <w:r w:rsidRPr="00060A2B" w:rsidR="00C75A54">
        <w:rPr>
          <w:rFonts w:cs="Arial"/>
          <w:sz w:val="16"/>
          <w:szCs w:val="16"/>
        </w:rPr>
        <w:t xml:space="preserve">necesidades de </w:t>
      </w:r>
      <w:r w:rsidRPr="00060A2B" w:rsidR="007A1742">
        <w:rPr>
          <w:rFonts w:cs="Arial"/>
          <w:sz w:val="16"/>
          <w:szCs w:val="16"/>
        </w:rPr>
        <w:t>liquide</w:t>
      </w:r>
      <w:r w:rsidRPr="00060A2B" w:rsidR="007C7318">
        <w:rPr>
          <w:rFonts w:cs="Arial"/>
          <w:sz w:val="16"/>
          <w:szCs w:val="16"/>
        </w:rPr>
        <w:t>z</w:t>
      </w:r>
      <w:r w:rsidRPr="00060A2B" w:rsidR="00637CC7">
        <w:rPr>
          <w:rFonts w:cs="Arial"/>
          <w:sz w:val="16"/>
          <w:szCs w:val="16"/>
        </w:rPr>
        <w:t>,</w:t>
      </w:r>
      <w:r w:rsidRPr="00060A2B" w:rsidR="00673F4D">
        <w:rPr>
          <w:rFonts w:cs="Arial"/>
          <w:sz w:val="16"/>
          <w:szCs w:val="16"/>
        </w:rPr>
        <w:t xml:space="preserve"> </w:t>
      </w:r>
      <w:r w:rsidRPr="00060A2B" w:rsidR="009A423B">
        <w:rPr>
          <w:rFonts w:cs="Arial"/>
          <w:sz w:val="16"/>
          <w:szCs w:val="16"/>
        </w:rPr>
        <w:t>conforme a</w:t>
      </w:r>
      <w:r w:rsidRPr="00060A2B" w:rsidR="006E37A7">
        <w:rPr>
          <w:rFonts w:cs="Arial"/>
          <w:sz w:val="16"/>
          <w:szCs w:val="16"/>
        </w:rPr>
        <w:t xml:space="preserve">l modelo </w:t>
      </w:r>
      <w:r w:rsidRPr="00060A2B" w:rsidR="009A423B">
        <w:rPr>
          <w:rFonts w:cs="Arial"/>
          <w:sz w:val="16"/>
          <w:szCs w:val="16"/>
        </w:rPr>
        <w:t>de negocio</w:t>
      </w:r>
      <w:r w:rsidRPr="00060A2B" w:rsidR="00CE5100">
        <w:rPr>
          <w:rFonts w:cs="Arial"/>
          <w:sz w:val="16"/>
          <w:szCs w:val="16"/>
        </w:rPr>
        <w:t xml:space="preserve"> </w:t>
      </w:r>
      <w:r w:rsidRPr="00060A2B" w:rsidR="00A53681">
        <w:rPr>
          <w:rFonts w:cs="Arial"/>
          <w:sz w:val="16"/>
          <w:szCs w:val="16"/>
        </w:rPr>
        <w:t>y portafolio de riesgos asegurados</w:t>
      </w:r>
      <w:r w:rsidRPr="00060A2B" w:rsidR="008D24E6">
        <w:rPr>
          <w:rFonts w:cs="Arial"/>
          <w:sz w:val="16"/>
          <w:szCs w:val="16"/>
        </w:rPr>
        <w:t>.</w:t>
      </w:r>
    </w:p>
    <w:p w:rsidR="000C531B" w:rsidRPr="00111A94" w:rsidP="00DB1073" w14:paraId="49FAD646" w14:textId="77777777">
      <w:pPr>
        <w:pBdr>
          <w:left w:val="single" w:sz="4" w:space="1" w:color="auto"/>
        </w:pBdr>
        <w:tabs>
          <w:tab w:val="num" w:pos="360"/>
          <w:tab w:val="num" w:pos="540"/>
        </w:tabs>
        <w:autoSpaceDE w:val="0"/>
        <w:autoSpaceDN w:val="0"/>
        <w:adjustRightInd w:val="0"/>
        <w:ind w:left="540" w:hanging="540"/>
        <w:rPr>
          <w:rFonts w:eastAsia="Arial Unicode MS" w:cs="Arial"/>
          <w:sz w:val="16"/>
          <w:szCs w:val="16"/>
        </w:rPr>
      </w:pPr>
    </w:p>
    <w:p w:rsidR="6B50331C" w:rsidRPr="00060A2B" w:rsidP="00CC2130" w14:paraId="36FB22E8" w14:textId="77777777">
      <w:pPr>
        <w:pBdr>
          <w:left w:val="single" w:sz="4" w:space="1" w:color="auto"/>
        </w:pBdr>
        <w:autoSpaceDE w:val="0"/>
        <w:autoSpaceDN w:val="0"/>
        <w:adjustRightInd w:val="0"/>
        <w:rPr>
          <w:rFonts w:cs="Arial"/>
          <w:sz w:val="16"/>
          <w:szCs w:val="16"/>
        </w:rPr>
      </w:pPr>
      <w:r w:rsidRPr="002A5D10">
        <w:rPr>
          <w:rFonts w:cs="Arial"/>
          <w:sz w:val="16"/>
          <w:szCs w:val="16"/>
        </w:rPr>
        <w:t>1.</w:t>
      </w:r>
      <w:r w:rsidRPr="002A5D10" w:rsidR="00CC2130">
        <w:rPr>
          <w:rFonts w:cs="Arial"/>
          <w:sz w:val="16"/>
          <w:szCs w:val="16"/>
        </w:rPr>
        <w:t>2</w:t>
      </w:r>
      <w:r w:rsidRPr="00060A2B">
        <w:rPr>
          <w:rFonts w:cs="Arial"/>
          <w:sz w:val="16"/>
          <w:szCs w:val="16"/>
        </w:rPr>
        <w:t xml:space="preserve">. </w:t>
      </w:r>
      <w:r w:rsidRPr="00060A2B" w:rsidR="00612063">
        <w:rPr>
          <w:rFonts w:cs="Arial"/>
          <w:sz w:val="16"/>
          <w:szCs w:val="16"/>
        </w:rPr>
        <w:t xml:space="preserve">Criterios generales para la selección de los activos </w:t>
      </w:r>
      <w:r w:rsidRPr="00060A2B" w:rsidR="0080432F">
        <w:rPr>
          <w:rFonts w:cs="Arial"/>
          <w:sz w:val="16"/>
          <w:szCs w:val="16"/>
        </w:rPr>
        <w:t>susceptibles de inversión</w:t>
      </w:r>
      <w:r w:rsidRPr="00060A2B" w:rsidR="006E4B91">
        <w:rPr>
          <w:rFonts w:cs="Arial"/>
          <w:sz w:val="16"/>
          <w:szCs w:val="16"/>
        </w:rPr>
        <w:t xml:space="preserve"> y los límites de inversión</w:t>
      </w:r>
      <w:r w:rsidRPr="00060A2B">
        <w:rPr>
          <w:rFonts w:cs="Arial"/>
          <w:sz w:val="16"/>
          <w:szCs w:val="16"/>
        </w:rPr>
        <w:t xml:space="preserve"> </w:t>
      </w:r>
    </w:p>
    <w:p w:rsidR="000C531B" w:rsidRPr="00060A2B" w:rsidP="00DB1073" w14:paraId="5B76F233" w14:textId="77777777">
      <w:pPr>
        <w:pBdr>
          <w:left w:val="single" w:sz="4" w:space="1" w:color="auto"/>
        </w:pBdr>
        <w:autoSpaceDE w:val="0"/>
        <w:autoSpaceDN w:val="0"/>
        <w:adjustRightInd w:val="0"/>
        <w:rPr>
          <w:rFonts w:cs="Arial"/>
          <w:sz w:val="14"/>
          <w:szCs w:val="16"/>
        </w:rPr>
      </w:pPr>
    </w:p>
    <w:p w:rsidR="00A246E4" w:rsidRPr="00060A2B" w:rsidP="00DB1073" w14:paraId="7D367926" w14:textId="7416B472">
      <w:pPr>
        <w:pStyle w:val="ListParagraph1"/>
        <w:ind w:left="0"/>
        <w:rPr>
          <w:b w:val="0"/>
          <w:sz w:val="16"/>
          <w:szCs w:val="16"/>
        </w:rPr>
      </w:pPr>
      <w:r w:rsidRPr="00060A2B">
        <w:rPr>
          <w:b w:val="0"/>
          <w:sz w:val="16"/>
          <w:szCs w:val="16"/>
          <w:lang w:eastAsia="es-CO"/>
        </w:rPr>
        <w:t>1.</w:t>
      </w:r>
      <w:r w:rsidRPr="00060A2B" w:rsidR="00CC2130">
        <w:rPr>
          <w:b w:val="0"/>
          <w:sz w:val="16"/>
          <w:szCs w:val="16"/>
          <w:lang w:eastAsia="es-CO"/>
        </w:rPr>
        <w:t>3</w:t>
      </w:r>
      <w:r w:rsidRPr="00060A2B">
        <w:rPr>
          <w:b w:val="0"/>
          <w:sz w:val="16"/>
          <w:szCs w:val="16"/>
          <w:lang w:eastAsia="es-CO"/>
        </w:rPr>
        <w:t xml:space="preserve">. </w:t>
      </w:r>
      <w:bookmarkStart w:id="15" w:name="_Hlk67417343"/>
      <w:bookmarkStart w:id="16" w:name="_Hlk70016349"/>
      <w:r w:rsidRPr="00060A2B">
        <w:rPr>
          <w:b w:val="0"/>
          <w:sz w:val="16"/>
          <w:szCs w:val="16"/>
          <w:lang w:eastAsia="es-CO"/>
        </w:rPr>
        <w:t>Tratamiento de los activos considerados como alternativ</w:t>
      </w:r>
      <w:r w:rsidRPr="00060A2B" w:rsidR="004073D7">
        <w:rPr>
          <w:b w:val="0"/>
          <w:sz w:val="16"/>
          <w:szCs w:val="16"/>
          <w:lang w:eastAsia="es-CO"/>
        </w:rPr>
        <w:t>o</w:t>
      </w:r>
      <w:r w:rsidRPr="00060A2B">
        <w:rPr>
          <w:b w:val="0"/>
          <w:sz w:val="16"/>
          <w:szCs w:val="16"/>
          <w:lang w:eastAsia="es-CO"/>
        </w:rPr>
        <w:t>s</w:t>
      </w:r>
      <w:r w:rsidRPr="00060A2B" w:rsidR="00FB5B95">
        <w:rPr>
          <w:b w:val="0"/>
          <w:sz w:val="16"/>
          <w:szCs w:val="16"/>
          <w:lang w:eastAsia="es-CO"/>
        </w:rPr>
        <w:t xml:space="preserve">. </w:t>
      </w:r>
      <w:bookmarkEnd w:id="15"/>
      <w:r w:rsidRPr="00060A2B" w:rsidR="00FB5B95">
        <w:rPr>
          <w:b w:val="0"/>
          <w:sz w:val="16"/>
          <w:szCs w:val="16"/>
        </w:rPr>
        <w:t>En</w:t>
      </w:r>
      <w:r w:rsidRPr="00060A2B" w:rsidR="00FB5B95">
        <w:rPr>
          <w:b w:val="0"/>
          <w:sz w:val="16"/>
        </w:rPr>
        <w:t xml:space="preserve"> caso de que la junta directiva decida </w:t>
      </w:r>
      <w:r w:rsidRPr="00060A2B" w:rsidR="00FB5B95">
        <w:rPr>
          <w:b w:val="0"/>
          <w:sz w:val="16"/>
          <w:szCs w:val="16"/>
        </w:rPr>
        <w:t>contemplar activos alternativos</w:t>
      </w:r>
      <w:r w:rsidRPr="00060A2B" w:rsidR="00FB5B95">
        <w:rPr>
          <w:b w:val="0"/>
          <w:sz w:val="16"/>
        </w:rPr>
        <w:t xml:space="preserve"> dentro de su política de inversión</w:t>
      </w:r>
      <w:r w:rsidRPr="00060A2B" w:rsidR="00FB5B95">
        <w:rPr>
          <w:b w:val="0"/>
          <w:sz w:val="16"/>
          <w:szCs w:val="16"/>
        </w:rPr>
        <w:t>,</w:t>
      </w:r>
      <w:r w:rsidRPr="00060A2B" w:rsidR="00FB5B95">
        <w:rPr>
          <w:b w:val="0"/>
          <w:sz w:val="16"/>
          <w:szCs w:val="16"/>
          <w:lang w:val="es-CO"/>
        </w:rPr>
        <w:t xml:space="preserve"> </w:t>
      </w:r>
      <w:r w:rsidRPr="00060A2B" w:rsidR="00FB5B95">
        <w:rPr>
          <w:b w:val="0"/>
          <w:sz w:val="16"/>
          <w:lang w:val="es-CO"/>
        </w:rPr>
        <w:t>debe incluir</w:t>
      </w:r>
      <w:r w:rsidRPr="00060A2B" w:rsidR="00E007AD">
        <w:rPr>
          <w:b w:val="0"/>
          <w:sz w:val="16"/>
          <w:lang w:val="es-CO"/>
        </w:rPr>
        <w:t>se</w:t>
      </w:r>
      <w:r w:rsidRPr="00060A2B" w:rsidR="00FB5B95">
        <w:rPr>
          <w:b w:val="0"/>
          <w:sz w:val="16"/>
          <w:lang w:val="es-CO"/>
        </w:rPr>
        <w:t xml:space="preserve"> un capítulo que señale </w:t>
      </w:r>
      <w:r w:rsidRPr="00060A2B" w:rsidR="00FB5B95">
        <w:rPr>
          <w:b w:val="0"/>
          <w:sz w:val="16"/>
          <w:szCs w:val="16"/>
          <w:lang w:val="es-CO"/>
        </w:rPr>
        <w:t>su</w:t>
      </w:r>
      <w:r w:rsidRPr="00060A2B" w:rsidR="00FB5B95">
        <w:rPr>
          <w:b w:val="0"/>
          <w:sz w:val="16"/>
          <w:lang w:val="es-CO"/>
        </w:rPr>
        <w:t xml:space="preserve"> tratamiento </w:t>
      </w:r>
      <w:r w:rsidRPr="00060A2B" w:rsidR="00FB5B95">
        <w:rPr>
          <w:b w:val="0"/>
          <w:sz w:val="16"/>
          <w:szCs w:val="16"/>
          <w:lang w:val="es-CO"/>
        </w:rPr>
        <w:t>y contemple por lo menos</w:t>
      </w:r>
      <w:r w:rsidRPr="00060A2B" w:rsidR="00FB5B95">
        <w:rPr>
          <w:b w:val="0"/>
          <w:sz w:val="16"/>
          <w:lang w:val="es-CO"/>
        </w:rPr>
        <w:t xml:space="preserve"> los siguientes aspectos:</w:t>
      </w:r>
      <w:bookmarkEnd w:id="16"/>
    </w:p>
    <w:p w:rsidR="00A246E4" w:rsidRPr="00060A2B" w:rsidP="00DB1073" w14:paraId="2DD292DA" w14:textId="77777777">
      <w:pPr>
        <w:pStyle w:val="ListParagraph1"/>
        <w:ind w:left="0"/>
        <w:rPr>
          <w:b w:val="0"/>
          <w:sz w:val="16"/>
          <w:szCs w:val="16"/>
        </w:rPr>
      </w:pPr>
    </w:p>
    <w:p w:rsidR="00005141" w:rsidRPr="00060A2B" w:rsidP="00DB1073" w14:paraId="02588C57" w14:textId="77777777">
      <w:pPr>
        <w:pStyle w:val="ListParagraph"/>
        <w:pBdr>
          <w:left w:val="single" w:sz="4" w:space="1" w:color="auto"/>
        </w:pBdr>
        <w:ind w:left="0"/>
        <w:jc w:val="both"/>
        <w:rPr>
          <w:rFonts w:cs="Arial"/>
          <w:sz w:val="16"/>
          <w:szCs w:val="16"/>
          <w:lang w:val="es-CO"/>
        </w:rPr>
      </w:pPr>
      <w:r w:rsidRPr="00060A2B">
        <w:rPr>
          <w:rFonts w:cs="Arial"/>
          <w:sz w:val="16"/>
          <w:szCs w:val="16"/>
          <w:lang w:val="es-CO"/>
        </w:rPr>
        <w:t>1.</w:t>
      </w:r>
      <w:r w:rsidRPr="00060A2B" w:rsidR="00FF5454">
        <w:rPr>
          <w:rFonts w:cs="Arial"/>
          <w:sz w:val="16"/>
          <w:szCs w:val="16"/>
          <w:lang w:val="es-CO"/>
        </w:rPr>
        <w:t>3</w:t>
      </w:r>
      <w:r w:rsidRPr="00060A2B">
        <w:rPr>
          <w:rFonts w:cs="Arial"/>
          <w:sz w:val="16"/>
          <w:szCs w:val="16"/>
          <w:lang w:val="es-CO"/>
        </w:rPr>
        <w:t xml:space="preserve">.1. </w:t>
      </w:r>
      <w:bookmarkStart w:id="17" w:name="_Hlk70016364"/>
      <w:r w:rsidRPr="00060A2B">
        <w:rPr>
          <w:rFonts w:cs="Arial"/>
          <w:sz w:val="16"/>
          <w:szCs w:val="16"/>
          <w:lang w:val="es-CO"/>
        </w:rPr>
        <w:t xml:space="preserve">Los modelos y metodologías adoptados por la </w:t>
      </w:r>
      <w:r w:rsidRPr="00060A2B" w:rsidR="000E6102">
        <w:rPr>
          <w:rFonts w:cs="Arial"/>
          <w:sz w:val="16"/>
          <w:szCs w:val="16"/>
          <w:lang w:val="es-CO"/>
        </w:rPr>
        <w:t>entidad aseguradora</w:t>
      </w:r>
      <w:r w:rsidRPr="00060A2B">
        <w:rPr>
          <w:rFonts w:cs="Arial"/>
          <w:sz w:val="16"/>
          <w:szCs w:val="16"/>
          <w:lang w:val="es-CO"/>
        </w:rPr>
        <w:t xml:space="preserve"> para la medición y valoración del riesgo financiero asociado con este tipo de inversiones.</w:t>
      </w:r>
      <w:bookmarkEnd w:id="17"/>
    </w:p>
    <w:p w:rsidR="00005141" w:rsidRPr="00060A2B" w:rsidP="00DB1073" w14:paraId="1A0CA29A" w14:textId="77777777">
      <w:pPr>
        <w:pStyle w:val="ListParagraph"/>
        <w:pBdr>
          <w:left w:val="single" w:sz="4" w:space="1" w:color="auto"/>
        </w:pBdr>
        <w:ind w:left="0"/>
        <w:jc w:val="both"/>
        <w:rPr>
          <w:rFonts w:cs="Arial"/>
          <w:sz w:val="16"/>
          <w:szCs w:val="16"/>
          <w:lang w:val="es-CO"/>
        </w:rPr>
      </w:pPr>
      <w:r w:rsidRPr="00060A2B">
        <w:rPr>
          <w:rFonts w:cs="Arial"/>
          <w:sz w:val="16"/>
          <w:szCs w:val="16"/>
          <w:lang w:val="es-CO"/>
        </w:rPr>
        <w:t>1</w:t>
      </w:r>
      <w:r w:rsidRPr="00060A2B">
        <w:rPr>
          <w:rFonts w:cs="Arial"/>
          <w:sz w:val="16"/>
          <w:szCs w:val="16"/>
          <w:lang w:val="es-CO"/>
        </w:rPr>
        <w:t>.</w:t>
      </w:r>
      <w:r w:rsidRPr="00060A2B" w:rsidR="00FF5454">
        <w:rPr>
          <w:rFonts w:cs="Arial"/>
          <w:sz w:val="16"/>
          <w:szCs w:val="16"/>
          <w:lang w:val="es-CO"/>
        </w:rPr>
        <w:t>3</w:t>
      </w:r>
      <w:r w:rsidRPr="00060A2B">
        <w:rPr>
          <w:rFonts w:cs="Arial"/>
          <w:sz w:val="16"/>
          <w:szCs w:val="16"/>
          <w:lang w:val="es-CO"/>
        </w:rPr>
        <w:t xml:space="preserve">.2. </w:t>
      </w:r>
      <w:bookmarkStart w:id="18" w:name="_Hlk70016385"/>
      <w:r w:rsidRPr="00060A2B">
        <w:rPr>
          <w:rFonts w:cs="Arial"/>
          <w:sz w:val="16"/>
          <w:szCs w:val="16"/>
          <w:lang w:val="es-CO"/>
        </w:rPr>
        <w:t xml:space="preserve">Las políticas y límites prudenciales </w:t>
      </w:r>
      <w:r w:rsidRPr="00060A2B" w:rsidR="00010C15">
        <w:rPr>
          <w:rFonts w:cs="Arial"/>
          <w:sz w:val="16"/>
          <w:szCs w:val="16"/>
          <w:lang w:val="es-CO"/>
        </w:rPr>
        <w:t xml:space="preserve">internos </w:t>
      </w:r>
      <w:r w:rsidRPr="00060A2B">
        <w:rPr>
          <w:rFonts w:cs="Arial"/>
          <w:sz w:val="16"/>
          <w:szCs w:val="16"/>
          <w:lang w:val="es-CO"/>
        </w:rPr>
        <w:t xml:space="preserve">establecidos por la </w:t>
      </w:r>
      <w:r w:rsidRPr="00060A2B" w:rsidR="000E6102">
        <w:rPr>
          <w:rFonts w:cs="Arial"/>
          <w:sz w:val="16"/>
          <w:szCs w:val="16"/>
          <w:lang w:val="es-CO"/>
        </w:rPr>
        <w:t xml:space="preserve">entidad aseguradora </w:t>
      </w:r>
      <w:r w:rsidRPr="00060A2B">
        <w:rPr>
          <w:rFonts w:cs="Arial"/>
          <w:sz w:val="16"/>
          <w:szCs w:val="16"/>
          <w:lang w:val="es-CO"/>
        </w:rPr>
        <w:t>para la exposición al riesgo financiero asociado con este tipo de inversiones.</w:t>
      </w:r>
      <w:bookmarkEnd w:id="18"/>
    </w:p>
    <w:p w:rsidR="00005141" w:rsidRPr="00060A2B" w:rsidP="00DB1073" w14:paraId="71C69BE0" w14:textId="225D1E07">
      <w:pPr>
        <w:pStyle w:val="ListParagraph"/>
        <w:pBdr>
          <w:left w:val="single" w:sz="4" w:space="1" w:color="auto"/>
        </w:pBdr>
        <w:ind w:left="0"/>
        <w:jc w:val="both"/>
        <w:rPr>
          <w:sz w:val="16"/>
          <w:szCs w:val="16"/>
        </w:rPr>
      </w:pPr>
      <w:r w:rsidRPr="00060A2B">
        <w:rPr>
          <w:sz w:val="16"/>
          <w:szCs w:val="16"/>
          <w:lang w:val="es-CO"/>
        </w:rPr>
        <w:t>1</w:t>
      </w:r>
      <w:r w:rsidRPr="00060A2B">
        <w:rPr>
          <w:rFonts w:cs="Arial"/>
          <w:sz w:val="16"/>
          <w:szCs w:val="16"/>
          <w:lang w:val="es-CO"/>
        </w:rPr>
        <w:t>.</w:t>
      </w:r>
      <w:r w:rsidRPr="00060A2B" w:rsidR="00FF5454">
        <w:rPr>
          <w:sz w:val="16"/>
          <w:szCs w:val="16"/>
          <w:lang w:val="es-CO"/>
        </w:rPr>
        <w:t>3</w:t>
      </w:r>
      <w:r w:rsidRPr="00060A2B">
        <w:rPr>
          <w:sz w:val="16"/>
          <w:szCs w:val="16"/>
          <w:lang w:val="es-CO"/>
        </w:rPr>
        <w:t>.</w:t>
      </w:r>
      <w:r w:rsidRPr="00060A2B">
        <w:rPr>
          <w:rFonts w:cs="Arial"/>
          <w:sz w:val="16"/>
          <w:szCs w:val="16"/>
          <w:lang w:val="es-CO"/>
        </w:rPr>
        <w:t xml:space="preserve">3. </w:t>
      </w:r>
      <w:bookmarkStart w:id="19" w:name="_Hlk70016406"/>
      <w:r w:rsidRPr="00060A2B">
        <w:rPr>
          <w:sz w:val="16"/>
          <w:szCs w:val="16"/>
        </w:rPr>
        <w:t>Los procesos adoptados para la medición, monitoreo y reporte de los riesgos financiero</w:t>
      </w:r>
      <w:r w:rsidRPr="00060A2B" w:rsidR="00CC2130">
        <w:rPr>
          <w:sz w:val="16"/>
          <w:szCs w:val="16"/>
        </w:rPr>
        <w:t>s</w:t>
      </w:r>
      <w:r w:rsidRPr="00060A2B">
        <w:rPr>
          <w:sz w:val="16"/>
          <w:szCs w:val="16"/>
        </w:rPr>
        <w:t xml:space="preserve"> y opera</w:t>
      </w:r>
      <w:r w:rsidRPr="00060A2B" w:rsidR="00F113EA">
        <w:rPr>
          <w:sz w:val="16"/>
          <w:szCs w:val="16"/>
        </w:rPr>
        <w:t>cional</w:t>
      </w:r>
      <w:r w:rsidRPr="00060A2B" w:rsidR="00010C15">
        <w:rPr>
          <w:sz w:val="16"/>
          <w:szCs w:val="16"/>
        </w:rPr>
        <w:t>,</w:t>
      </w:r>
      <w:r w:rsidRPr="00060A2B">
        <w:rPr>
          <w:sz w:val="16"/>
          <w:szCs w:val="16"/>
        </w:rPr>
        <w:t xml:space="preserve"> asociados </w:t>
      </w:r>
      <w:r w:rsidRPr="00060A2B" w:rsidR="00EF2597">
        <w:rPr>
          <w:sz w:val="16"/>
          <w:szCs w:val="16"/>
        </w:rPr>
        <w:t>a</w:t>
      </w:r>
      <w:r w:rsidRPr="00060A2B">
        <w:rPr>
          <w:sz w:val="16"/>
          <w:szCs w:val="16"/>
        </w:rPr>
        <w:t xml:space="preserve"> este tipo de inversiones</w:t>
      </w:r>
      <w:bookmarkEnd w:id="19"/>
      <w:r w:rsidRPr="00060A2B">
        <w:rPr>
          <w:sz w:val="16"/>
          <w:szCs w:val="16"/>
        </w:rPr>
        <w:t xml:space="preserve">. </w:t>
      </w:r>
    </w:p>
    <w:p w:rsidR="00005141" w:rsidRPr="00060A2B" w:rsidP="00CC2130" w14:paraId="6B56DE7A" w14:textId="77777777">
      <w:pPr>
        <w:pStyle w:val="ListParagraph"/>
        <w:pBdr>
          <w:left w:val="single" w:sz="4" w:space="1" w:color="auto"/>
        </w:pBdr>
        <w:ind w:left="0"/>
        <w:jc w:val="both"/>
        <w:rPr>
          <w:sz w:val="16"/>
          <w:szCs w:val="16"/>
        </w:rPr>
      </w:pPr>
      <w:r w:rsidRPr="00060A2B">
        <w:rPr>
          <w:sz w:val="16"/>
          <w:szCs w:val="16"/>
          <w:lang w:val="es-CO"/>
        </w:rPr>
        <w:t>1</w:t>
      </w:r>
      <w:r w:rsidRPr="00060A2B">
        <w:rPr>
          <w:rFonts w:cs="Arial"/>
          <w:sz w:val="16"/>
          <w:szCs w:val="16"/>
          <w:lang w:val="es-CO"/>
        </w:rPr>
        <w:t>.</w:t>
      </w:r>
      <w:r w:rsidRPr="00060A2B" w:rsidR="00FF5454">
        <w:rPr>
          <w:rFonts w:cs="Arial"/>
          <w:sz w:val="16"/>
          <w:szCs w:val="16"/>
          <w:lang w:val="es-CO"/>
        </w:rPr>
        <w:t>3</w:t>
      </w:r>
      <w:r w:rsidRPr="00060A2B">
        <w:rPr>
          <w:rFonts w:cs="Arial"/>
          <w:sz w:val="16"/>
          <w:szCs w:val="16"/>
          <w:lang w:val="es-CO"/>
        </w:rPr>
        <w:t>.</w:t>
      </w:r>
      <w:r w:rsidRPr="00060A2B">
        <w:rPr>
          <w:sz w:val="16"/>
          <w:szCs w:val="16"/>
          <w:lang w:val="es-CO"/>
        </w:rPr>
        <w:t xml:space="preserve">4. </w:t>
      </w:r>
      <w:bookmarkStart w:id="20" w:name="_Hlk70016484"/>
      <w:r w:rsidRPr="00060A2B">
        <w:rPr>
          <w:rFonts w:cs="Arial"/>
          <w:sz w:val="16"/>
          <w:szCs w:val="16"/>
          <w:lang w:val="es-CO"/>
        </w:rPr>
        <w:t>Las políticas para la toma de decisiones de inversión en activos alternativos, incluyendo</w:t>
      </w:r>
      <w:r w:rsidRPr="00060A2B" w:rsidR="00CC2130">
        <w:rPr>
          <w:rFonts w:cs="Arial"/>
          <w:sz w:val="16"/>
          <w:szCs w:val="16"/>
          <w:lang w:val="es-CO"/>
        </w:rPr>
        <w:t xml:space="preserve"> los </w:t>
      </w:r>
      <w:r w:rsidRPr="00060A2B">
        <w:rPr>
          <w:sz w:val="16"/>
          <w:szCs w:val="16"/>
        </w:rPr>
        <w:t>procedimientos y áreas responsables de la realización de la debida diligencia de las condiciones de la inversión en activos alternativos</w:t>
      </w:r>
      <w:r w:rsidRPr="00060A2B" w:rsidR="00FF5454">
        <w:rPr>
          <w:sz w:val="16"/>
          <w:szCs w:val="16"/>
        </w:rPr>
        <w:t>.</w:t>
      </w:r>
      <w:bookmarkEnd w:id="20"/>
    </w:p>
    <w:p w:rsidR="00A246E4" w:rsidRPr="00060A2B" w:rsidP="00DB1073" w14:paraId="7EA1E321" w14:textId="77777777">
      <w:pPr>
        <w:pBdr>
          <w:left w:val="single" w:sz="4" w:space="1" w:color="auto"/>
        </w:pBdr>
        <w:autoSpaceDE w:val="0"/>
        <w:autoSpaceDN w:val="0"/>
        <w:adjustRightInd w:val="0"/>
        <w:rPr>
          <w:rFonts w:cs="Arial"/>
          <w:sz w:val="16"/>
          <w:szCs w:val="16"/>
        </w:rPr>
      </w:pPr>
    </w:p>
    <w:p w:rsidR="003F3F95" w:rsidRPr="00060A2B" w:rsidP="003F3F95" w14:paraId="23937016" w14:textId="11AEB95E">
      <w:pPr>
        <w:pStyle w:val="ListParagraph"/>
        <w:pBdr>
          <w:left w:val="single" w:sz="4" w:space="1" w:color="auto"/>
        </w:pBdr>
        <w:ind w:left="0"/>
        <w:jc w:val="both"/>
        <w:rPr>
          <w:rFonts w:cs="Arial"/>
          <w:sz w:val="16"/>
          <w:szCs w:val="16"/>
          <w:lang w:val="es-CO"/>
        </w:rPr>
      </w:pPr>
      <w:r w:rsidRPr="00060A2B">
        <w:rPr>
          <w:rFonts w:cs="Arial"/>
          <w:sz w:val="16"/>
          <w:szCs w:val="16"/>
        </w:rPr>
        <w:t>1.</w:t>
      </w:r>
      <w:r w:rsidRPr="00060A2B" w:rsidR="00FF5454">
        <w:rPr>
          <w:rFonts w:cs="Arial"/>
          <w:sz w:val="16"/>
          <w:szCs w:val="16"/>
        </w:rPr>
        <w:t>4</w:t>
      </w:r>
      <w:r w:rsidRPr="00060A2B">
        <w:rPr>
          <w:rFonts w:cs="Arial"/>
          <w:sz w:val="16"/>
          <w:szCs w:val="16"/>
        </w:rPr>
        <w:t xml:space="preserve">. </w:t>
      </w:r>
      <w:bookmarkStart w:id="21" w:name="_Hlk70016510"/>
      <w:r w:rsidRPr="00060A2B">
        <w:rPr>
          <w:sz w:val="16"/>
          <w:szCs w:val="16"/>
        </w:rPr>
        <w:t>Las políticas y medidas de control interno adoptadas por la entidad aseguradora para corregir cualquier desviación que ocurra respecto a la máxima exposición a los riesgos financiero y operacional establecida en la política de inversión. Estas políticas deben detallar el procedimiento, requisitos, instancias responsables, y los planes de desmonte o la modificación de los limites internos en los casos en que ocurran desviaciones.</w:t>
      </w:r>
      <w:bookmarkEnd w:id="21"/>
    </w:p>
    <w:p w:rsidR="000C531B" w:rsidRPr="00060A2B" w:rsidP="00DB1073" w14:paraId="6A3FC2A6" w14:textId="77777777">
      <w:pPr>
        <w:pBdr>
          <w:left w:val="single" w:sz="4" w:space="1" w:color="auto"/>
        </w:pBdr>
        <w:tabs>
          <w:tab w:val="num" w:pos="720"/>
        </w:tabs>
        <w:autoSpaceDE w:val="0"/>
        <w:autoSpaceDN w:val="0"/>
        <w:adjustRightInd w:val="0"/>
        <w:ind w:left="720" w:hanging="720"/>
        <w:rPr>
          <w:rFonts w:cs="Arial"/>
          <w:sz w:val="14"/>
          <w:szCs w:val="16"/>
        </w:rPr>
      </w:pPr>
    </w:p>
    <w:p w:rsidR="00EB0C8C" w:rsidRPr="00060A2B" w:rsidP="00222BFB" w14:paraId="2B1B3F29" w14:textId="77777777">
      <w:pPr>
        <w:pStyle w:val="ListParagraph1"/>
        <w:pBdr>
          <w:left w:val="single" w:sz="4" w:space="4" w:color="auto"/>
        </w:pBdr>
        <w:ind w:left="57"/>
        <w:rPr>
          <w:b w:val="0"/>
          <w:sz w:val="16"/>
          <w:szCs w:val="16"/>
        </w:rPr>
      </w:pPr>
      <w:r w:rsidRPr="00060A2B">
        <w:rPr>
          <w:b w:val="0"/>
          <w:sz w:val="16"/>
          <w:szCs w:val="16"/>
        </w:rPr>
        <w:t>1.</w:t>
      </w:r>
      <w:r w:rsidRPr="00060A2B" w:rsidR="00FF5454">
        <w:rPr>
          <w:b w:val="0"/>
          <w:sz w:val="16"/>
          <w:szCs w:val="16"/>
        </w:rPr>
        <w:t>5</w:t>
      </w:r>
      <w:r w:rsidRPr="00060A2B">
        <w:rPr>
          <w:b w:val="0"/>
          <w:sz w:val="16"/>
          <w:szCs w:val="16"/>
        </w:rPr>
        <w:t xml:space="preserve">. </w:t>
      </w:r>
      <w:bookmarkStart w:id="22" w:name="_Hlk70016535"/>
      <w:r w:rsidRPr="00060A2B">
        <w:rPr>
          <w:b w:val="0"/>
          <w:sz w:val="16"/>
          <w:szCs w:val="16"/>
        </w:rPr>
        <w:t>Políticas para seguir en el evento en que se presenten excesos o defectos en los límites de inversión, tanto internos como legales.</w:t>
      </w:r>
      <w:bookmarkEnd w:id="22"/>
      <w:r w:rsidRPr="00060A2B">
        <w:rPr>
          <w:b w:val="0"/>
          <w:sz w:val="16"/>
          <w:szCs w:val="16"/>
        </w:rPr>
        <w:t xml:space="preserve"> </w:t>
      </w:r>
    </w:p>
    <w:p w:rsidR="00EB0C8C" w:rsidRPr="00060A2B" w:rsidP="00222BFB" w14:paraId="4F52CE1A" w14:textId="77777777">
      <w:pPr>
        <w:pStyle w:val="ListParagraph1"/>
        <w:pBdr>
          <w:left w:val="single" w:sz="4" w:space="4" w:color="auto"/>
        </w:pBdr>
        <w:ind w:left="57"/>
        <w:rPr>
          <w:b w:val="0"/>
          <w:sz w:val="16"/>
          <w:szCs w:val="16"/>
        </w:rPr>
      </w:pPr>
    </w:p>
    <w:p w:rsidR="00EB0C8C" w:rsidRPr="00060A2B" w:rsidP="00222BFB" w14:paraId="36B99CDA" w14:textId="640EB923">
      <w:pPr>
        <w:pStyle w:val="ListParagraph1"/>
        <w:pBdr>
          <w:left w:val="single" w:sz="4" w:space="4" w:color="auto"/>
        </w:pBdr>
        <w:ind w:left="57"/>
        <w:rPr>
          <w:b w:val="0"/>
          <w:sz w:val="16"/>
          <w:szCs w:val="16"/>
        </w:rPr>
      </w:pPr>
      <w:r w:rsidRPr="00060A2B">
        <w:rPr>
          <w:b w:val="0"/>
          <w:sz w:val="16"/>
          <w:szCs w:val="16"/>
        </w:rPr>
        <w:t>1.</w:t>
      </w:r>
      <w:r w:rsidRPr="00060A2B" w:rsidR="00FF5454">
        <w:rPr>
          <w:b w:val="0"/>
          <w:sz w:val="16"/>
          <w:szCs w:val="16"/>
        </w:rPr>
        <w:t>6</w:t>
      </w:r>
      <w:bookmarkStart w:id="23" w:name="_Hlk70016566"/>
      <w:r w:rsidRPr="00060A2B">
        <w:rPr>
          <w:b w:val="0"/>
          <w:sz w:val="16"/>
          <w:szCs w:val="16"/>
        </w:rPr>
        <w:t xml:space="preserve">. Políticas y criterios para la modificación de los límites internos. </w:t>
      </w:r>
      <w:bookmarkEnd w:id="23"/>
    </w:p>
    <w:p w:rsidR="00E5427C" w:rsidRPr="00060A2B" w:rsidP="00222BFB" w14:paraId="09C33622" w14:textId="77777777">
      <w:pPr>
        <w:pStyle w:val="ListParagraph1"/>
        <w:pBdr>
          <w:left w:val="single" w:sz="4" w:space="4" w:color="auto"/>
        </w:pBdr>
        <w:ind w:left="57"/>
        <w:rPr>
          <w:b w:val="0"/>
          <w:sz w:val="16"/>
          <w:szCs w:val="16"/>
        </w:rPr>
      </w:pPr>
    </w:p>
    <w:p w:rsidR="00E5427C" w:rsidRPr="00060A2B" w:rsidP="00222BFB" w14:paraId="21006F26" w14:textId="09676155">
      <w:pPr>
        <w:pStyle w:val="ListParagraph1"/>
        <w:pBdr>
          <w:left w:val="single" w:sz="4" w:space="4" w:color="auto"/>
        </w:pBdr>
        <w:ind w:left="57"/>
        <w:rPr>
          <w:b w:val="0"/>
          <w:sz w:val="16"/>
          <w:szCs w:val="16"/>
        </w:rPr>
      </w:pPr>
      <w:r w:rsidRPr="00060A2B">
        <w:rPr>
          <w:b w:val="0"/>
          <w:sz w:val="16"/>
          <w:szCs w:val="16"/>
        </w:rPr>
        <w:t>1.</w:t>
      </w:r>
      <w:r w:rsidRPr="00060A2B" w:rsidR="00FF5454">
        <w:rPr>
          <w:b w:val="0"/>
          <w:sz w:val="16"/>
          <w:szCs w:val="16"/>
        </w:rPr>
        <w:t>7</w:t>
      </w:r>
      <w:r w:rsidRPr="00060A2B">
        <w:rPr>
          <w:b w:val="0"/>
          <w:sz w:val="16"/>
          <w:szCs w:val="16"/>
        </w:rPr>
        <w:t xml:space="preserve">. </w:t>
      </w:r>
      <w:bookmarkStart w:id="24" w:name="_Hlk70016642"/>
      <w:r w:rsidRPr="00060A2B">
        <w:rPr>
          <w:b w:val="0"/>
          <w:sz w:val="16"/>
          <w:szCs w:val="16"/>
        </w:rPr>
        <w:t>Políticas de inversiones en entidades vinculad</w:t>
      </w:r>
      <w:r w:rsidRPr="00060A2B" w:rsidR="00556D6D">
        <w:rPr>
          <w:b w:val="0"/>
          <w:sz w:val="16"/>
          <w:szCs w:val="16"/>
        </w:rPr>
        <w:t>a</w:t>
      </w:r>
      <w:r w:rsidRPr="00060A2B">
        <w:rPr>
          <w:b w:val="0"/>
          <w:sz w:val="16"/>
          <w:szCs w:val="16"/>
        </w:rPr>
        <w:t>s o que hagan parte del conglomerado financiero, siempre que sean aplicables. Estas políticas deben guardar correspondencia con las políticas generales establecidas por el conglomerado financiero</w:t>
      </w:r>
      <w:r w:rsidRPr="00060A2B" w:rsidR="00B83C76">
        <w:rPr>
          <w:b w:val="0"/>
          <w:sz w:val="16"/>
          <w:szCs w:val="16"/>
        </w:rPr>
        <w:t xml:space="preserve"> respecto del límite de exposición y de concentración de riesgos, en línea con lo dispuesto en el artículo 2.39.3.2.1 del Decreto 2555 de 2010</w:t>
      </w:r>
      <w:r w:rsidRPr="00060A2B" w:rsidR="00212ECA">
        <w:rPr>
          <w:b w:val="0"/>
          <w:sz w:val="16"/>
          <w:szCs w:val="16"/>
        </w:rPr>
        <w:t xml:space="preserve"> </w:t>
      </w:r>
      <w:r w:rsidRPr="00060A2B" w:rsidR="00212ECA">
        <w:rPr>
          <w:b w:val="0"/>
          <w:sz w:val="16"/>
          <w:szCs w:val="16"/>
          <w:lang w:val="es-CO"/>
        </w:rPr>
        <w:t>u otras disposiciones</w:t>
      </w:r>
      <w:r w:rsidRPr="00060A2B" w:rsidR="00891F77">
        <w:rPr>
          <w:b w:val="0"/>
          <w:sz w:val="16"/>
          <w:szCs w:val="16"/>
          <w:lang w:val="es-CO"/>
        </w:rPr>
        <w:t xml:space="preserve"> que lo modifiquen o adicionen</w:t>
      </w:r>
      <w:r w:rsidRPr="00060A2B">
        <w:rPr>
          <w:b w:val="0"/>
          <w:sz w:val="16"/>
          <w:szCs w:val="16"/>
        </w:rPr>
        <w:t>.</w:t>
      </w:r>
      <w:bookmarkEnd w:id="24"/>
      <w:r w:rsidRPr="00060A2B" w:rsidR="00891F77">
        <w:rPr>
          <w:b w:val="0"/>
          <w:sz w:val="16"/>
          <w:szCs w:val="16"/>
        </w:rPr>
        <w:t xml:space="preserve"> Estas políticas deben contemplar las directrices generales impartidas por el holding financiero en materia de conflictos de interés, a que se refiere el artículo 2.39.3.1.4 del Decreto 2555 de 2010 u otras disposiciones.</w:t>
      </w:r>
    </w:p>
    <w:p w:rsidR="00EB0C8C" w:rsidRPr="00060A2B" w:rsidP="00DB1073" w14:paraId="28B4D282" w14:textId="77777777">
      <w:pPr>
        <w:pBdr>
          <w:left w:val="single" w:sz="4" w:space="1" w:color="auto"/>
        </w:pBdr>
        <w:tabs>
          <w:tab w:val="num" w:pos="720"/>
        </w:tabs>
        <w:autoSpaceDE w:val="0"/>
        <w:autoSpaceDN w:val="0"/>
        <w:adjustRightInd w:val="0"/>
        <w:ind w:left="720" w:hanging="720"/>
        <w:rPr>
          <w:rFonts w:cs="Arial"/>
          <w:sz w:val="14"/>
          <w:szCs w:val="16"/>
        </w:rPr>
      </w:pPr>
    </w:p>
    <w:p w:rsidR="000C531B" w:rsidRPr="00060A2B" w:rsidP="00DB1073" w14:paraId="3BFC8691" w14:textId="77777777">
      <w:pPr>
        <w:pBdr>
          <w:left w:val="single" w:sz="4" w:space="1" w:color="auto"/>
        </w:pBdr>
        <w:autoSpaceDE w:val="0"/>
        <w:autoSpaceDN w:val="0"/>
        <w:adjustRightInd w:val="0"/>
      </w:pPr>
      <w:r w:rsidRPr="00060A2B">
        <w:rPr>
          <w:rFonts w:cs="Arial"/>
          <w:sz w:val="16"/>
          <w:szCs w:val="16"/>
        </w:rPr>
        <w:t>1.</w:t>
      </w:r>
      <w:r w:rsidRPr="00060A2B" w:rsidR="00FF5454">
        <w:rPr>
          <w:rFonts w:cs="Arial"/>
          <w:sz w:val="16"/>
          <w:szCs w:val="16"/>
        </w:rPr>
        <w:t>8.</w:t>
      </w:r>
      <w:r w:rsidRPr="00060A2B">
        <w:rPr>
          <w:rFonts w:cs="Arial"/>
          <w:sz w:val="16"/>
          <w:szCs w:val="16"/>
        </w:rPr>
        <w:t xml:space="preserve"> </w:t>
      </w:r>
      <w:bookmarkStart w:id="25" w:name="_Hlk70016654"/>
      <w:r w:rsidRPr="00060A2B">
        <w:rPr>
          <w:rFonts w:cs="Arial"/>
          <w:sz w:val="16"/>
          <w:szCs w:val="16"/>
        </w:rPr>
        <w:t>Procedimiento para evaluar el desempeño en la gestión de las inversiones, en donde se indique por lo menos:</w:t>
      </w:r>
      <w:bookmarkEnd w:id="25"/>
    </w:p>
    <w:p w:rsidR="000C531B" w:rsidRPr="00060A2B" w:rsidP="00DB1073" w14:paraId="61C32B23" w14:textId="77777777">
      <w:pPr>
        <w:pBdr>
          <w:left w:val="single" w:sz="4" w:space="1" w:color="auto"/>
        </w:pBdr>
        <w:tabs>
          <w:tab w:val="num" w:pos="720"/>
        </w:tabs>
        <w:autoSpaceDE w:val="0"/>
        <w:autoSpaceDN w:val="0"/>
        <w:adjustRightInd w:val="0"/>
        <w:ind w:left="720" w:hanging="720"/>
        <w:rPr>
          <w:rFonts w:cs="Arial"/>
          <w:sz w:val="14"/>
          <w:szCs w:val="16"/>
        </w:rPr>
      </w:pPr>
    </w:p>
    <w:p w:rsidR="000C531B" w:rsidRPr="00060A2B" w:rsidP="00DB1073" w14:paraId="175ABBFA" w14:textId="77777777">
      <w:pPr>
        <w:pBdr>
          <w:left w:val="single" w:sz="4" w:space="1" w:color="auto"/>
        </w:pBdr>
        <w:autoSpaceDE w:val="0"/>
        <w:autoSpaceDN w:val="0"/>
        <w:adjustRightInd w:val="0"/>
        <w:rPr>
          <w:rFonts w:cs="Arial"/>
          <w:sz w:val="16"/>
          <w:szCs w:val="16"/>
        </w:rPr>
      </w:pPr>
      <w:r w:rsidRPr="00060A2B">
        <w:rPr>
          <w:rFonts w:cs="Arial"/>
          <w:sz w:val="16"/>
          <w:szCs w:val="16"/>
        </w:rPr>
        <w:t>1.</w:t>
      </w:r>
      <w:r w:rsidRPr="00060A2B" w:rsidR="00FF5454">
        <w:rPr>
          <w:rFonts w:cs="Arial"/>
          <w:sz w:val="16"/>
          <w:szCs w:val="16"/>
        </w:rPr>
        <w:t>8</w:t>
      </w:r>
      <w:r w:rsidRPr="00060A2B">
        <w:rPr>
          <w:rFonts w:cs="Arial"/>
          <w:sz w:val="16"/>
          <w:szCs w:val="16"/>
        </w:rPr>
        <w:t xml:space="preserve">.1. </w:t>
      </w:r>
      <w:bookmarkStart w:id="26" w:name="_Hlk70016719"/>
      <w:r w:rsidRPr="00060A2B">
        <w:rPr>
          <w:rFonts w:cs="Arial"/>
          <w:sz w:val="16"/>
          <w:szCs w:val="16"/>
        </w:rPr>
        <w:t>Descripción de los indicadores a utilizar</w:t>
      </w:r>
      <w:r w:rsidRPr="00060A2B" w:rsidR="005A0C12">
        <w:rPr>
          <w:rFonts w:cs="Arial"/>
          <w:sz w:val="16"/>
          <w:szCs w:val="16"/>
        </w:rPr>
        <w:t>.</w:t>
      </w:r>
      <w:bookmarkEnd w:id="26"/>
    </w:p>
    <w:p w:rsidR="000C531B" w:rsidRPr="00060A2B" w:rsidP="00DB1073" w14:paraId="0EEA2CA2" w14:textId="77777777">
      <w:pPr>
        <w:pBdr>
          <w:left w:val="single" w:sz="4" w:space="1" w:color="auto"/>
        </w:pBdr>
        <w:autoSpaceDE w:val="0"/>
        <w:autoSpaceDN w:val="0"/>
        <w:adjustRightInd w:val="0"/>
        <w:rPr>
          <w:rFonts w:cs="Arial"/>
          <w:sz w:val="16"/>
          <w:szCs w:val="16"/>
        </w:rPr>
      </w:pPr>
      <w:r w:rsidRPr="00060A2B">
        <w:rPr>
          <w:rFonts w:cs="Arial"/>
          <w:sz w:val="16"/>
          <w:szCs w:val="16"/>
        </w:rPr>
        <w:t>1.</w:t>
      </w:r>
      <w:r w:rsidRPr="00060A2B" w:rsidR="00FF5454">
        <w:rPr>
          <w:rFonts w:cs="Arial"/>
          <w:sz w:val="16"/>
          <w:szCs w:val="16"/>
        </w:rPr>
        <w:t>8</w:t>
      </w:r>
      <w:r w:rsidRPr="00060A2B">
        <w:rPr>
          <w:rFonts w:cs="Arial"/>
          <w:sz w:val="16"/>
          <w:szCs w:val="16"/>
        </w:rPr>
        <w:t>.2</w:t>
      </w:r>
      <w:bookmarkStart w:id="27" w:name="_Hlk70016730"/>
      <w:r w:rsidRPr="00060A2B">
        <w:rPr>
          <w:rFonts w:cs="Arial"/>
          <w:sz w:val="16"/>
          <w:szCs w:val="16"/>
        </w:rPr>
        <w:t>. Periodicidad de evaluación</w:t>
      </w:r>
      <w:r w:rsidRPr="00060A2B" w:rsidR="005A0C12">
        <w:rPr>
          <w:rFonts w:cs="Arial"/>
          <w:sz w:val="16"/>
          <w:szCs w:val="16"/>
        </w:rPr>
        <w:t>.</w:t>
      </w:r>
      <w:bookmarkEnd w:id="27"/>
    </w:p>
    <w:p w:rsidR="000C531B" w:rsidRPr="00060A2B" w:rsidP="00DB1073" w14:paraId="48BEE8EA" w14:textId="77777777">
      <w:pPr>
        <w:pBdr>
          <w:left w:val="single" w:sz="4" w:space="1" w:color="auto"/>
        </w:pBdr>
        <w:autoSpaceDE w:val="0"/>
        <w:autoSpaceDN w:val="0"/>
        <w:adjustRightInd w:val="0"/>
        <w:rPr>
          <w:rFonts w:cs="Arial"/>
          <w:sz w:val="16"/>
          <w:szCs w:val="16"/>
        </w:rPr>
      </w:pPr>
      <w:r w:rsidRPr="00060A2B">
        <w:rPr>
          <w:rFonts w:cs="Arial"/>
          <w:sz w:val="16"/>
          <w:szCs w:val="16"/>
        </w:rPr>
        <w:t>1.</w:t>
      </w:r>
      <w:r w:rsidRPr="00060A2B" w:rsidR="00FF5454">
        <w:rPr>
          <w:rFonts w:cs="Arial"/>
          <w:sz w:val="16"/>
          <w:szCs w:val="16"/>
        </w:rPr>
        <w:t>8</w:t>
      </w:r>
      <w:r w:rsidRPr="00060A2B">
        <w:rPr>
          <w:rFonts w:cs="Arial"/>
          <w:sz w:val="16"/>
          <w:szCs w:val="16"/>
        </w:rPr>
        <w:t>.3</w:t>
      </w:r>
      <w:bookmarkStart w:id="28" w:name="_Hlk70016750"/>
      <w:r w:rsidRPr="00060A2B">
        <w:rPr>
          <w:rFonts w:cs="Arial"/>
          <w:sz w:val="16"/>
          <w:szCs w:val="16"/>
        </w:rPr>
        <w:t>. Órgano</w:t>
      </w:r>
      <w:r w:rsidRPr="00060A2B" w:rsidR="00FB5B95">
        <w:rPr>
          <w:rFonts w:cs="Arial"/>
          <w:sz w:val="16"/>
          <w:szCs w:val="16"/>
        </w:rPr>
        <w:t>s</w:t>
      </w:r>
      <w:r w:rsidRPr="00060A2B">
        <w:rPr>
          <w:rFonts w:cs="Arial"/>
          <w:sz w:val="16"/>
          <w:szCs w:val="16"/>
        </w:rPr>
        <w:t xml:space="preserve"> o áreas encargadas de hacer seguimiento a dicha evaluación</w:t>
      </w:r>
      <w:r w:rsidRPr="00060A2B" w:rsidR="005A0C12">
        <w:rPr>
          <w:rFonts w:cs="Arial"/>
          <w:sz w:val="16"/>
          <w:szCs w:val="16"/>
        </w:rPr>
        <w:t>.</w:t>
      </w:r>
      <w:bookmarkEnd w:id="28"/>
      <w:r w:rsidRPr="00060A2B">
        <w:rPr>
          <w:rFonts w:cs="Arial"/>
          <w:sz w:val="16"/>
          <w:szCs w:val="16"/>
        </w:rPr>
        <w:t xml:space="preserve"> </w:t>
      </w:r>
    </w:p>
    <w:p w:rsidR="003F7EAD" w:rsidRPr="00060A2B" w:rsidP="00DB1073" w14:paraId="5EFA3D56" w14:textId="77777777">
      <w:pPr>
        <w:pBdr>
          <w:left w:val="single" w:sz="4" w:space="1" w:color="auto"/>
        </w:pBdr>
        <w:autoSpaceDE w:val="0"/>
        <w:autoSpaceDN w:val="0"/>
        <w:adjustRightInd w:val="0"/>
        <w:rPr>
          <w:rFonts w:cs="Arial"/>
          <w:sz w:val="16"/>
          <w:szCs w:val="16"/>
        </w:rPr>
      </w:pPr>
      <w:r w:rsidRPr="00060A2B">
        <w:rPr>
          <w:rFonts w:cs="Arial"/>
          <w:sz w:val="16"/>
          <w:szCs w:val="16"/>
        </w:rPr>
        <w:t>1.</w:t>
      </w:r>
      <w:r w:rsidRPr="00060A2B" w:rsidR="00FF5454">
        <w:rPr>
          <w:rFonts w:cs="Arial"/>
          <w:sz w:val="16"/>
          <w:szCs w:val="16"/>
        </w:rPr>
        <w:t>8</w:t>
      </w:r>
      <w:r w:rsidRPr="00060A2B">
        <w:rPr>
          <w:rFonts w:cs="Arial"/>
          <w:sz w:val="16"/>
          <w:szCs w:val="16"/>
        </w:rPr>
        <w:t xml:space="preserve">.4. </w:t>
      </w:r>
      <w:bookmarkStart w:id="29" w:name="_Hlk70016768"/>
      <w:r w:rsidRPr="00060A2B">
        <w:rPr>
          <w:rFonts w:cs="Arial"/>
          <w:sz w:val="16"/>
          <w:szCs w:val="16"/>
        </w:rPr>
        <w:t>Órganos o áreas receptores de las evaluaciones</w:t>
      </w:r>
      <w:r w:rsidRPr="00060A2B" w:rsidR="005A0C12">
        <w:rPr>
          <w:rFonts w:cs="Arial"/>
          <w:sz w:val="16"/>
          <w:szCs w:val="16"/>
        </w:rPr>
        <w:t>.</w:t>
      </w:r>
      <w:bookmarkEnd w:id="29"/>
    </w:p>
    <w:p w:rsidR="003F7EAD" w:rsidRPr="00060A2B" w:rsidP="00DB1073" w14:paraId="410FEE66" w14:textId="77777777">
      <w:pPr>
        <w:pBdr>
          <w:left w:val="single" w:sz="4" w:space="1" w:color="auto"/>
        </w:pBdr>
        <w:autoSpaceDE w:val="0"/>
        <w:autoSpaceDN w:val="0"/>
        <w:adjustRightInd w:val="0"/>
        <w:rPr>
          <w:rFonts w:cs="Arial"/>
          <w:sz w:val="16"/>
          <w:szCs w:val="16"/>
        </w:rPr>
      </w:pPr>
    </w:p>
    <w:p w:rsidR="000C531B" w:rsidRPr="00060A2B" w:rsidP="00DB1073" w14:paraId="1B3996F3" w14:textId="25D13BF9">
      <w:pPr>
        <w:pBdr>
          <w:left w:val="single" w:sz="4" w:space="1" w:color="auto"/>
        </w:pBdr>
        <w:autoSpaceDE w:val="0"/>
        <w:autoSpaceDN w:val="0"/>
        <w:adjustRightInd w:val="0"/>
        <w:rPr>
          <w:rFonts w:cs="Arial"/>
          <w:sz w:val="16"/>
          <w:szCs w:val="16"/>
        </w:rPr>
      </w:pPr>
      <w:r w:rsidRPr="00060A2B">
        <w:rPr>
          <w:rFonts w:cs="Arial"/>
          <w:sz w:val="16"/>
          <w:szCs w:val="16"/>
        </w:rPr>
        <w:t>1.</w:t>
      </w:r>
      <w:r w:rsidRPr="00060A2B" w:rsidR="00FF5454">
        <w:rPr>
          <w:rFonts w:cs="Arial"/>
          <w:sz w:val="16"/>
          <w:szCs w:val="16"/>
        </w:rPr>
        <w:t>9</w:t>
      </w:r>
      <w:r w:rsidRPr="00060A2B">
        <w:rPr>
          <w:rFonts w:cs="Arial"/>
          <w:sz w:val="16"/>
          <w:szCs w:val="16"/>
        </w:rPr>
        <w:t xml:space="preserve">. </w:t>
      </w:r>
      <w:bookmarkStart w:id="30" w:name="_Hlk70016785"/>
      <w:r w:rsidRPr="00060A2B">
        <w:rPr>
          <w:rFonts w:cs="Arial"/>
          <w:sz w:val="16"/>
          <w:szCs w:val="16"/>
        </w:rPr>
        <w:t>Condiciones profesionales exigidas al personal interno o externo relacionad</w:t>
      </w:r>
      <w:r w:rsidRPr="00060A2B" w:rsidR="001C28EF">
        <w:rPr>
          <w:rFonts w:cs="Arial"/>
          <w:sz w:val="16"/>
          <w:szCs w:val="16"/>
        </w:rPr>
        <w:t>o</w:t>
      </w:r>
      <w:r w:rsidRPr="00060A2B">
        <w:rPr>
          <w:rFonts w:cs="Arial"/>
          <w:sz w:val="16"/>
          <w:szCs w:val="16"/>
        </w:rPr>
        <w:t xml:space="preserve"> con el área de inversiones</w:t>
      </w:r>
      <w:r w:rsidRPr="00060A2B" w:rsidR="1919FF82">
        <w:rPr>
          <w:rFonts w:cs="Arial"/>
          <w:sz w:val="16"/>
          <w:szCs w:val="16"/>
        </w:rPr>
        <w:t>.</w:t>
      </w:r>
      <w:bookmarkEnd w:id="30"/>
    </w:p>
    <w:p w:rsidR="000C531B" w:rsidRPr="00060A2B" w:rsidP="00DB1073" w14:paraId="0B609E3B" w14:textId="77777777">
      <w:pPr>
        <w:pBdr>
          <w:left w:val="single" w:sz="4" w:space="1" w:color="auto"/>
        </w:pBdr>
        <w:tabs>
          <w:tab w:val="num" w:pos="720"/>
        </w:tabs>
        <w:autoSpaceDE w:val="0"/>
        <w:autoSpaceDN w:val="0"/>
        <w:adjustRightInd w:val="0"/>
        <w:rPr>
          <w:rFonts w:cs="Arial"/>
          <w:sz w:val="14"/>
          <w:szCs w:val="16"/>
        </w:rPr>
      </w:pPr>
    </w:p>
    <w:p w:rsidR="000C5899" w:rsidRPr="00060A2B" w:rsidP="00DB1073" w14:paraId="14A2E885" w14:textId="7CD70926">
      <w:pPr>
        <w:pBdr>
          <w:left w:val="single" w:sz="4" w:space="1" w:color="auto"/>
        </w:pBdr>
        <w:autoSpaceDE w:val="0"/>
        <w:autoSpaceDN w:val="0"/>
        <w:adjustRightInd w:val="0"/>
        <w:rPr>
          <w:rFonts w:cs="Arial"/>
          <w:sz w:val="16"/>
          <w:szCs w:val="16"/>
        </w:rPr>
      </w:pPr>
      <w:r w:rsidRPr="00060A2B">
        <w:rPr>
          <w:rFonts w:cs="Arial"/>
          <w:sz w:val="16"/>
          <w:szCs w:val="16"/>
        </w:rPr>
        <w:t>1.</w:t>
      </w:r>
      <w:r w:rsidRPr="00060A2B" w:rsidR="00EB0C8C">
        <w:rPr>
          <w:rFonts w:cs="Arial"/>
          <w:sz w:val="16"/>
          <w:szCs w:val="16"/>
        </w:rPr>
        <w:t>1</w:t>
      </w:r>
      <w:r w:rsidRPr="00060A2B" w:rsidR="00FF5454">
        <w:rPr>
          <w:rFonts w:cs="Arial"/>
          <w:sz w:val="16"/>
          <w:szCs w:val="16"/>
        </w:rPr>
        <w:t>0</w:t>
      </w:r>
      <w:r w:rsidRPr="00060A2B">
        <w:rPr>
          <w:rFonts w:cs="Arial"/>
          <w:sz w:val="16"/>
          <w:szCs w:val="16"/>
        </w:rPr>
        <w:t>.</w:t>
      </w:r>
      <w:r w:rsidRPr="00060A2B" w:rsidR="0054788F">
        <w:rPr>
          <w:rFonts w:cs="Arial"/>
          <w:sz w:val="16"/>
          <w:szCs w:val="16"/>
        </w:rPr>
        <w:t xml:space="preserve"> </w:t>
      </w:r>
      <w:bookmarkStart w:id="31" w:name="_Hlk70016803"/>
      <w:r w:rsidRPr="00060A2B" w:rsidR="00FB5B95">
        <w:rPr>
          <w:rFonts w:cs="Arial"/>
          <w:sz w:val="16"/>
          <w:szCs w:val="16"/>
        </w:rPr>
        <w:t>D</w:t>
      </w:r>
      <w:r w:rsidRPr="00060A2B" w:rsidR="26199CDD">
        <w:rPr>
          <w:rFonts w:cs="Arial"/>
          <w:sz w:val="16"/>
          <w:szCs w:val="16"/>
        </w:rPr>
        <w:t>escripción general de los riesgos a los que se encuentra expuesto el portafolio de inversiones, la cual deben incorporar como mínimo los efectos de los riesgos de liquidez, mercado</w:t>
      </w:r>
      <w:r w:rsidRPr="00060A2B" w:rsidR="001A1A3B">
        <w:rPr>
          <w:rFonts w:cs="Arial"/>
          <w:sz w:val="16"/>
          <w:szCs w:val="16"/>
        </w:rPr>
        <w:t xml:space="preserve"> y</w:t>
      </w:r>
      <w:r w:rsidRPr="00060A2B" w:rsidR="26199CDD">
        <w:rPr>
          <w:rFonts w:cs="Arial"/>
          <w:sz w:val="16"/>
          <w:szCs w:val="16"/>
        </w:rPr>
        <w:t xml:space="preserve"> crédito en un análisis integral del portafolio.</w:t>
      </w:r>
      <w:r w:rsidRPr="00060A2B">
        <w:rPr>
          <w:rFonts w:cs="Arial"/>
          <w:sz w:val="16"/>
          <w:szCs w:val="16"/>
        </w:rPr>
        <w:t xml:space="preserve"> </w:t>
      </w:r>
      <w:r w:rsidRPr="00060A2B" w:rsidR="001A1A3B">
        <w:rPr>
          <w:rFonts w:cs="Arial"/>
          <w:sz w:val="16"/>
          <w:szCs w:val="16"/>
        </w:rPr>
        <w:t xml:space="preserve">Las entidades aseguradoras deben </w:t>
      </w:r>
      <w:r w:rsidRPr="00060A2B" w:rsidR="0020409F">
        <w:rPr>
          <w:rFonts w:cs="Arial"/>
          <w:sz w:val="16"/>
          <w:szCs w:val="16"/>
        </w:rPr>
        <w:t>mencionar</w:t>
      </w:r>
      <w:r w:rsidRPr="00060A2B" w:rsidR="001A1A3B">
        <w:rPr>
          <w:rFonts w:cs="Arial"/>
          <w:sz w:val="16"/>
          <w:szCs w:val="16"/>
        </w:rPr>
        <w:t xml:space="preserve"> en su política de inversión </w:t>
      </w:r>
      <w:r w:rsidRPr="00060A2B" w:rsidR="0020409F">
        <w:rPr>
          <w:rFonts w:cs="Arial"/>
          <w:sz w:val="16"/>
          <w:szCs w:val="16"/>
        </w:rPr>
        <w:t>si inclu</w:t>
      </w:r>
      <w:r w:rsidRPr="000A549E" w:rsidR="005650AF">
        <w:rPr>
          <w:rFonts w:cs="Arial"/>
          <w:sz w:val="16"/>
          <w:szCs w:val="16"/>
        </w:rPr>
        <w:t xml:space="preserve">yen </w:t>
      </w:r>
      <w:r w:rsidRPr="00060A2B" w:rsidR="00563981">
        <w:rPr>
          <w:rFonts w:cs="Arial"/>
          <w:sz w:val="16"/>
          <w:szCs w:val="16"/>
        </w:rPr>
        <w:t xml:space="preserve">la evaluación </w:t>
      </w:r>
      <w:r w:rsidRPr="00060A2B" w:rsidR="008A009B">
        <w:rPr>
          <w:rFonts w:cs="Arial"/>
          <w:sz w:val="16"/>
          <w:szCs w:val="16"/>
        </w:rPr>
        <w:t xml:space="preserve">de los </w:t>
      </w:r>
      <w:bookmarkStart w:id="32" w:name="_Hlk67416890"/>
      <w:r w:rsidRPr="00060A2B" w:rsidR="00891F77">
        <w:rPr>
          <w:rFonts w:cs="Arial"/>
          <w:sz w:val="16"/>
          <w:szCs w:val="16"/>
        </w:rPr>
        <w:t xml:space="preserve">riesgos </w:t>
      </w:r>
      <w:r w:rsidRPr="00060A2B" w:rsidR="009F6B44">
        <w:rPr>
          <w:rFonts w:cs="Arial"/>
          <w:sz w:val="16"/>
          <w:szCs w:val="16"/>
        </w:rPr>
        <w:t xml:space="preserve">ambientales, sociales y de gobierno corporativo </w:t>
      </w:r>
      <w:bookmarkEnd w:id="32"/>
      <w:r w:rsidRPr="00060A2B" w:rsidR="009F6B44">
        <w:rPr>
          <w:rFonts w:cs="Arial"/>
          <w:sz w:val="16"/>
          <w:szCs w:val="16"/>
        </w:rPr>
        <w:t>(ASG)</w:t>
      </w:r>
      <w:r w:rsidRPr="00060A2B" w:rsidR="0044398D">
        <w:rPr>
          <w:rFonts w:cs="Arial"/>
          <w:sz w:val="16"/>
          <w:szCs w:val="16"/>
        </w:rPr>
        <w:t xml:space="preserve"> </w:t>
      </w:r>
      <w:r w:rsidRPr="00060A2B" w:rsidR="001A1A3B">
        <w:rPr>
          <w:rFonts w:cs="Arial"/>
          <w:sz w:val="16"/>
          <w:szCs w:val="16"/>
        </w:rPr>
        <w:t>y climático</w:t>
      </w:r>
      <w:r w:rsidRPr="00060A2B" w:rsidR="00105F02">
        <w:rPr>
          <w:rFonts w:cs="Arial"/>
          <w:sz w:val="16"/>
          <w:szCs w:val="16"/>
        </w:rPr>
        <w:t xml:space="preserve">, o los motivos por los cuales </w:t>
      </w:r>
      <w:r w:rsidRPr="000A549E" w:rsidR="00880F3A">
        <w:rPr>
          <w:rFonts w:cs="Arial"/>
          <w:sz w:val="16"/>
          <w:szCs w:val="16"/>
        </w:rPr>
        <w:t>no se incluyen</w:t>
      </w:r>
      <w:r w:rsidRPr="00060A2B">
        <w:rPr>
          <w:rFonts w:cs="Arial"/>
          <w:sz w:val="16"/>
          <w:szCs w:val="16"/>
        </w:rPr>
        <w:t>.</w:t>
      </w:r>
      <w:bookmarkEnd w:id="31"/>
    </w:p>
    <w:p w:rsidR="001A1A3B" w:rsidRPr="00060A2B" w:rsidP="00DB1073" w14:paraId="48BEFACD" w14:textId="77777777">
      <w:pPr>
        <w:pBdr>
          <w:left w:val="single" w:sz="4" w:space="1" w:color="auto"/>
        </w:pBdr>
        <w:autoSpaceDE w:val="0"/>
        <w:autoSpaceDN w:val="0"/>
        <w:adjustRightInd w:val="0"/>
        <w:rPr>
          <w:rFonts w:cs="Arial"/>
          <w:sz w:val="16"/>
          <w:szCs w:val="16"/>
        </w:rPr>
      </w:pPr>
    </w:p>
    <w:p w:rsidR="1A8DFADD" w:rsidRPr="00F40F56" w:rsidP="00DB1073" w14:paraId="61A8650F" w14:textId="7B007CF2">
      <w:pPr>
        <w:pBdr>
          <w:left w:val="single" w:sz="4" w:space="1" w:color="auto"/>
        </w:pBdr>
        <w:rPr>
          <w:szCs w:val="18"/>
        </w:rPr>
      </w:pPr>
      <w:r w:rsidRPr="00060A2B">
        <w:rPr>
          <w:rFonts w:cs="Arial"/>
          <w:sz w:val="16"/>
          <w:szCs w:val="16"/>
        </w:rPr>
        <w:t>1</w:t>
      </w:r>
      <w:r w:rsidRPr="00060A2B" w:rsidR="00CC2130">
        <w:rPr>
          <w:rFonts w:cs="Arial"/>
          <w:sz w:val="16"/>
          <w:szCs w:val="16"/>
        </w:rPr>
        <w:t>.</w:t>
      </w:r>
      <w:r w:rsidRPr="00060A2B" w:rsidR="00EB0C8C">
        <w:rPr>
          <w:rFonts w:cs="Arial"/>
          <w:sz w:val="16"/>
          <w:szCs w:val="16"/>
        </w:rPr>
        <w:t>1</w:t>
      </w:r>
      <w:r w:rsidRPr="00060A2B" w:rsidR="00FF5454">
        <w:rPr>
          <w:rFonts w:cs="Arial"/>
          <w:sz w:val="16"/>
          <w:szCs w:val="16"/>
        </w:rPr>
        <w:t>1</w:t>
      </w:r>
      <w:r w:rsidRPr="00060A2B">
        <w:rPr>
          <w:rFonts w:cs="Arial"/>
          <w:sz w:val="16"/>
          <w:szCs w:val="16"/>
        </w:rPr>
        <w:t xml:space="preserve">. </w:t>
      </w:r>
      <w:bookmarkStart w:id="33" w:name="_Hlk70016819"/>
      <w:r w:rsidRPr="00060A2B">
        <w:rPr>
          <w:rFonts w:cs="Arial"/>
          <w:sz w:val="16"/>
          <w:szCs w:val="16"/>
        </w:rPr>
        <w:t xml:space="preserve">Políticas </w:t>
      </w:r>
      <w:r w:rsidRPr="000A549E" w:rsidR="004A6D9A">
        <w:rPr>
          <w:rFonts w:cs="Arial"/>
          <w:sz w:val="16"/>
          <w:szCs w:val="16"/>
        </w:rPr>
        <w:t>para</w:t>
      </w:r>
      <w:r w:rsidRPr="00060A2B">
        <w:rPr>
          <w:rFonts w:cs="Arial"/>
          <w:sz w:val="16"/>
          <w:szCs w:val="16"/>
        </w:rPr>
        <w:t xml:space="preserve"> la administración o gestión de riesgos a los que se encuentra expuesto el portafolio de inversiones, las cuales deben incorporar como mínimo los efectos de los riesgos de liquidez, mercado</w:t>
      </w:r>
      <w:r w:rsidRPr="00060A2B" w:rsidR="006762FB">
        <w:rPr>
          <w:rFonts w:cs="Arial"/>
          <w:sz w:val="16"/>
          <w:szCs w:val="16"/>
        </w:rPr>
        <w:t xml:space="preserve"> y</w:t>
      </w:r>
      <w:r w:rsidRPr="00060A2B">
        <w:rPr>
          <w:rFonts w:cs="Arial"/>
          <w:sz w:val="16"/>
          <w:szCs w:val="16"/>
        </w:rPr>
        <w:t xml:space="preserve"> crédito en un análisis integral del portafolio.</w:t>
      </w:r>
      <w:r w:rsidRPr="00060A2B" w:rsidR="006762FB">
        <w:rPr>
          <w:rFonts w:cs="Arial"/>
          <w:sz w:val="16"/>
          <w:szCs w:val="16"/>
        </w:rPr>
        <w:t xml:space="preserve"> Las entidades aseguradoras deben mencionar en su política de inversión si inclu</w:t>
      </w:r>
      <w:r w:rsidRPr="000A549E" w:rsidR="005650AF">
        <w:rPr>
          <w:rFonts w:cs="Arial"/>
          <w:sz w:val="16"/>
          <w:szCs w:val="16"/>
        </w:rPr>
        <w:t xml:space="preserve">yen </w:t>
      </w:r>
      <w:r w:rsidRPr="00060A2B" w:rsidR="006762FB">
        <w:rPr>
          <w:rFonts w:cs="Arial"/>
          <w:sz w:val="16"/>
          <w:szCs w:val="16"/>
        </w:rPr>
        <w:t xml:space="preserve">la evaluación de los riesgos </w:t>
      </w:r>
      <w:r w:rsidRPr="00060A2B" w:rsidR="00BF41C5">
        <w:rPr>
          <w:rFonts w:cs="Arial"/>
          <w:sz w:val="16"/>
          <w:szCs w:val="16"/>
        </w:rPr>
        <w:t>A</w:t>
      </w:r>
      <w:r w:rsidRPr="00060A2B" w:rsidR="006762FB">
        <w:rPr>
          <w:rFonts w:cs="Arial"/>
          <w:sz w:val="16"/>
          <w:szCs w:val="16"/>
        </w:rPr>
        <w:t xml:space="preserve">SG y climático, o los motivos por los cuales </w:t>
      </w:r>
      <w:r w:rsidRPr="000A549E" w:rsidR="005650AF">
        <w:rPr>
          <w:rFonts w:cs="Arial"/>
          <w:sz w:val="16"/>
          <w:szCs w:val="16"/>
        </w:rPr>
        <w:t>no se incluyen</w:t>
      </w:r>
      <w:r w:rsidRPr="00060A2B" w:rsidR="006762FB">
        <w:rPr>
          <w:rFonts w:cs="Arial"/>
          <w:sz w:val="16"/>
          <w:szCs w:val="16"/>
        </w:rPr>
        <w:t>.</w:t>
      </w:r>
      <w:bookmarkEnd w:id="33"/>
    </w:p>
    <w:p w:rsidR="000C531B" w:rsidRPr="002A5D10" w:rsidP="00DB1073" w14:paraId="1439E172" w14:textId="77777777">
      <w:pPr>
        <w:pBdr>
          <w:left w:val="single" w:sz="4" w:space="1" w:color="auto"/>
        </w:pBdr>
        <w:autoSpaceDE w:val="0"/>
        <w:autoSpaceDN w:val="0"/>
        <w:adjustRightInd w:val="0"/>
        <w:rPr>
          <w:rFonts w:cs="Arial"/>
          <w:sz w:val="14"/>
          <w:szCs w:val="16"/>
        </w:rPr>
      </w:pPr>
    </w:p>
    <w:p w:rsidR="447127BA" w:rsidRPr="00060A2B" w:rsidP="00CC2130" w14:paraId="0B8A8299" w14:textId="77777777">
      <w:pPr>
        <w:pBdr>
          <w:left w:val="single" w:sz="4" w:space="1" w:color="auto"/>
        </w:pBdr>
        <w:autoSpaceDE w:val="0"/>
        <w:autoSpaceDN w:val="0"/>
        <w:adjustRightInd w:val="0"/>
        <w:rPr>
          <w:rFonts w:eastAsia="Arial" w:cs="Arial"/>
          <w:sz w:val="16"/>
          <w:szCs w:val="16"/>
        </w:rPr>
      </w:pPr>
      <w:r w:rsidRPr="002A5D10">
        <w:rPr>
          <w:rFonts w:cs="Arial"/>
          <w:sz w:val="16"/>
          <w:szCs w:val="16"/>
        </w:rPr>
        <w:t>1.</w:t>
      </w:r>
      <w:r w:rsidRPr="009A7D47" w:rsidR="009E04F0">
        <w:rPr>
          <w:rFonts w:cs="Arial"/>
          <w:sz w:val="16"/>
          <w:szCs w:val="16"/>
        </w:rPr>
        <w:t>1</w:t>
      </w:r>
      <w:r w:rsidRPr="00060A2B" w:rsidR="00FF5454">
        <w:rPr>
          <w:rFonts w:cs="Arial"/>
          <w:sz w:val="16"/>
          <w:szCs w:val="16"/>
        </w:rPr>
        <w:t>2</w:t>
      </w:r>
      <w:r w:rsidRPr="00060A2B">
        <w:rPr>
          <w:rFonts w:cs="Arial"/>
          <w:sz w:val="16"/>
          <w:szCs w:val="16"/>
        </w:rPr>
        <w:t xml:space="preserve">. </w:t>
      </w:r>
      <w:bookmarkStart w:id="34" w:name="_Hlk70016856"/>
      <w:r w:rsidRPr="00060A2B" w:rsidR="00CC2130">
        <w:rPr>
          <w:rFonts w:cs="Arial"/>
          <w:sz w:val="16"/>
          <w:szCs w:val="16"/>
        </w:rPr>
        <w:t>Los m</w:t>
      </w:r>
      <w:r w:rsidRPr="00060A2B">
        <w:rPr>
          <w:rFonts w:cs="Arial"/>
          <w:sz w:val="16"/>
          <w:szCs w:val="16"/>
        </w:rPr>
        <w:t>ecanismos de identificación, medición, control y monitoreo de los riesgos</w:t>
      </w:r>
      <w:r w:rsidRPr="00060A2B" w:rsidR="00CC2130">
        <w:rPr>
          <w:rFonts w:cs="Arial"/>
          <w:sz w:val="16"/>
          <w:szCs w:val="16"/>
        </w:rPr>
        <w:t>.</w:t>
      </w:r>
      <w:bookmarkEnd w:id="34"/>
    </w:p>
    <w:p w:rsidR="000C531B" w:rsidRPr="00060A2B" w:rsidP="00DB1073" w14:paraId="5BC0D330" w14:textId="77777777">
      <w:pPr>
        <w:pBdr>
          <w:left w:val="single" w:sz="4" w:space="1" w:color="auto"/>
        </w:pBdr>
        <w:tabs>
          <w:tab w:val="num" w:pos="720"/>
        </w:tabs>
        <w:autoSpaceDE w:val="0"/>
        <w:autoSpaceDN w:val="0"/>
        <w:adjustRightInd w:val="0"/>
        <w:ind w:left="720" w:hanging="720"/>
        <w:rPr>
          <w:rFonts w:cs="Arial"/>
          <w:sz w:val="14"/>
          <w:szCs w:val="14"/>
          <w:highlight w:val="yellow"/>
        </w:rPr>
      </w:pPr>
    </w:p>
    <w:p w:rsidR="00CC2130" w:rsidRPr="00060A2B" w:rsidP="00CC2130" w14:paraId="0F72CDB4" w14:textId="77777777">
      <w:pPr>
        <w:pBdr>
          <w:left w:val="single" w:sz="4" w:space="1" w:color="auto"/>
        </w:pBdr>
        <w:autoSpaceDE w:val="0"/>
        <w:autoSpaceDN w:val="0"/>
        <w:adjustRightInd w:val="0"/>
        <w:rPr>
          <w:rFonts w:cs="Arial"/>
          <w:sz w:val="16"/>
          <w:szCs w:val="16"/>
        </w:rPr>
      </w:pPr>
      <w:r w:rsidRPr="00060A2B">
        <w:rPr>
          <w:rFonts w:cs="Arial"/>
          <w:sz w:val="16"/>
          <w:szCs w:val="16"/>
        </w:rPr>
        <w:t>1.</w:t>
      </w:r>
      <w:r w:rsidRPr="00060A2B" w:rsidR="006A20AF">
        <w:rPr>
          <w:rFonts w:cs="Arial"/>
          <w:sz w:val="16"/>
          <w:szCs w:val="16"/>
        </w:rPr>
        <w:t>1</w:t>
      </w:r>
      <w:r w:rsidRPr="00060A2B" w:rsidR="00FF5454">
        <w:rPr>
          <w:rFonts w:cs="Arial"/>
          <w:sz w:val="16"/>
          <w:szCs w:val="16"/>
        </w:rPr>
        <w:t>3</w:t>
      </w:r>
      <w:r w:rsidRPr="00060A2B">
        <w:rPr>
          <w:rFonts w:cs="Arial"/>
          <w:sz w:val="16"/>
          <w:szCs w:val="16"/>
        </w:rPr>
        <w:t xml:space="preserve">. </w:t>
      </w:r>
      <w:bookmarkStart w:id="35" w:name="_Hlk70016868"/>
      <w:r w:rsidRPr="00060A2B">
        <w:rPr>
          <w:rFonts w:cs="Arial"/>
          <w:sz w:val="16"/>
          <w:szCs w:val="16"/>
        </w:rPr>
        <w:t>El proceso de identificación y g</w:t>
      </w:r>
      <w:r w:rsidRPr="00060A2B">
        <w:rPr>
          <w:rFonts w:cs="Arial"/>
          <w:sz w:val="16"/>
          <w:szCs w:val="16"/>
        </w:rPr>
        <w:t>estión de los potenciales conflictos de interés en el proceso de inversiones</w:t>
      </w:r>
      <w:r w:rsidRPr="00060A2B">
        <w:rPr>
          <w:rFonts w:cs="Arial"/>
          <w:sz w:val="16"/>
          <w:szCs w:val="16"/>
        </w:rPr>
        <w:t>.</w:t>
      </w:r>
      <w:bookmarkEnd w:id="35"/>
    </w:p>
    <w:p w:rsidR="002C2906" w:rsidRPr="00060A2B" w:rsidP="00DB1073" w14:paraId="424A3022" w14:textId="77777777">
      <w:pPr>
        <w:pBdr>
          <w:left w:val="single" w:sz="4" w:space="1" w:color="auto"/>
        </w:pBdr>
        <w:autoSpaceDE w:val="0"/>
        <w:autoSpaceDN w:val="0"/>
        <w:adjustRightInd w:val="0"/>
        <w:rPr>
          <w:rFonts w:cs="Arial"/>
          <w:sz w:val="16"/>
          <w:szCs w:val="16"/>
        </w:rPr>
      </w:pPr>
    </w:p>
    <w:p w:rsidR="00EB258C" w:rsidRPr="00060A2B" w:rsidP="00DB1073" w14:paraId="5645F016" w14:textId="77777777">
      <w:pPr>
        <w:pBdr>
          <w:left w:val="single" w:sz="4" w:space="1" w:color="auto"/>
        </w:pBdr>
        <w:autoSpaceDE w:val="0"/>
        <w:autoSpaceDN w:val="0"/>
        <w:adjustRightInd w:val="0"/>
        <w:rPr>
          <w:rFonts w:cs="Arial"/>
          <w:sz w:val="12"/>
          <w:szCs w:val="12"/>
        </w:rPr>
      </w:pPr>
    </w:p>
    <w:p w:rsidR="00A66B7B" w:rsidRPr="00060A2B" w:rsidP="00DB1073" w14:paraId="54185515" w14:textId="77777777">
      <w:pPr>
        <w:pStyle w:val="Heading2"/>
        <w:pBdr>
          <w:left w:val="single" w:sz="4" w:space="1" w:color="auto"/>
        </w:pBdr>
        <w:spacing w:before="0" w:after="0"/>
      </w:pPr>
      <w:bookmarkStart w:id="36" w:name="_Toc267211380_0"/>
      <w:r w:rsidRPr="00060A2B">
        <w:t>2</w:t>
      </w:r>
      <w:r w:rsidRPr="00060A2B" w:rsidR="612AAEEC">
        <w:t>.</w:t>
      </w:r>
      <w:r w:rsidRPr="00060A2B">
        <w:t xml:space="preserve"> </w:t>
      </w:r>
      <w:r w:rsidRPr="00060A2B" w:rsidR="74486B63">
        <w:t>Gobernanza de las inversiones</w:t>
      </w:r>
      <w:bookmarkEnd w:id="36"/>
    </w:p>
    <w:p w:rsidR="00A66B7B" w:rsidRPr="00060A2B" w:rsidP="00DB1073" w14:paraId="4484DF58" w14:textId="77777777">
      <w:pPr>
        <w:pBdr>
          <w:left w:val="single" w:sz="4" w:space="1" w:color="auto"/>
        </w:pBdr>
        <w:rPr>
          <w:rFonts w:cs="Arial"/>
          <w:b/>
          <w:sz w:val="12"/>
          <w:szCs w:val="16"/>
        </w:rPr>
      </w:pPr>
    </w:p>
    <w:p w:rsidR="74486B63" w:rsidRPr="00060A2B" w:rsidP="00CC2130" w14:paraId="38790F35" w14:textId="30531C6B">
      <w:pPr>
        <w:pBdr>
          <w:left w:val="single" w:sz="4" w:space="1" w:color="auto"/>
        </w:pBdr>
        <w:autoSpaceDE w:val="0"/>
        <w:autoSpaceDN w:val="0"/>
        <w:adjustRightInd w:val="0"/>
        <w:rPr>
          <w:rFonts w:cs="Arial"/>
          <w:sz w:val="16"/>
          <w:szCs w:val="16"/>
        </w:rPr>
      </w:pPr>
      <w:r w:rsidRPr="002A5D10">
        <w:rPr>
          <w:rFonts w:eastAsia="Arial" w:cs="Arial"/>
          <w:color w:val="000000" w:themeColor="text1"/>
          <w:sz w:val="16"/>
          <w:szCs w:val="16"/>
          <w:lang w:val="es-ES"/>
        </w:rPr>
        <w:t xml:space="preserve">La política de inversión debe señalar la estructura organizacional </w:t>
      </w:r>
      <w:r w:rsidRPr="002A5D10" w:rsidR="003F7EAD">
        <w:rPr>
          <w:rFonts w:eastAsia="Arial" w:cs="Arial"/>
          <w:color w:val="000000" w:themeColor="text1"/>
          <w:sz w:val="16"/>
          <w:szCs w:val="16"/>
          <w:lang w:val="es-ES"/>
        </w:rPr>
        <w:t xml:space="preserve">encargada </w:t>
      </w:r>
      <w:r w:rsidRPr="00060A2B" w:rsidR="003F7EAD">
        <w:rPr>
          <w:rFonts w:eastAsia="Arial" w:cs="Arial"/>
          <w:color w:val="000000" w:themeColor="text1"/>
          <w:sz w:val="16"/>
          <w:szCs w:val="16"/>
          <w:lang w:val="es-ES"/>
        </w:rPr>
        <w:t>de</w:t>
      </w:r>
      <w:r w:rsidRPr="00060A2B">
        <w:rPr>
          <w:rFonts w:eastAsia="Arial" w:cs="Arial"/>
          <w:color w:val="000000" w:themeColor="text1"/>
          <w:sz w:val="16"/>
          <w:szCs w:val="16"/>
          <w:lang w:val="es-ES"/>
        </w:rPr>
        <w:t xml:space="preserve"> la gestión de inversiones y administración de sus riesgos</w:t>
      </w:r>
      <w:r w:rsidRPr="00060A2B" w:rsidR="00A74AB8">
        <w:rPr>
          <w:rFonts w:eastAsia="Arial" w:cs="Arial"/>
          <w:color w:val="000000" w:themeColor="text1"/>
          <w:sz w:val="16"/>
          <w:szCs w:val="16"/>
          <w:lang w:val="es-ES"/>
        </w:rPr>
        <w:t xml:space="preserve">, esto es las </w:t>
      </w:r>
      <w:r w:rsidRPr="00060A2B">
        <w:rPr>
          <w:rFonts w:eastAsia="Arial" w:cs="Arial"/>
          <w:color w:val="000000" w:themeColor="text1"/>
          <w:sz w:val="16"/>
          <w:szCs w:val="16"/>
          <w:lang w:val="es-ES"/>
        </w:rPr>
        <w:t>áreas que participan con sus principales funciones y facultades, entre otros.</w:t>
      </w:r>
      <w:r w:rsidRPr="00060A2B" w:rsidR="721339A1">
        <w:rPr>
          <w:rFonts w:eastAsia="Arial" w:cs="Arial"/>
          <w:color w:val="000000" w:themeColor="text1"/>
          <w:sz w:val="16"/>
          <w:szCs w:val="16"/>
          <w:lang w:val="es-ES"/>
        </w:rPr>
        <w:t xml:space="preserve"> Para el efecto, la política de inversión </w:t>
      </w:r>
      <w:r w:rsidRPr="00060A2B" w:rsidR="00891F77">
        <w:rPr>
          <w:rFonts w:eastAsia="Arial" w:cs="Arial"/>
          <w:color w:val="000000" w:themeColor="text1"/>
          <w:sz w:val="16"/>
          <w:szCs w:val="16"/>
          <w:lang w:val="es-ES"/>
        </w:rPr>
        <w:t xml:space="preserve">puede </w:t>
      </w:r>
      <w:r w:rsidRPr="00060A2B" w:rsidR="721339A1">
        <w:rPr>
          <w:rFonts w:eastAsia="Arial" w:cs="Arial"/>
          <w:color w:val="000000" w:themeColor="text1"/>
          <w:sz w:val="16"/>
          <w:szCs w:val="16"/>
          <w:lang w:val="es-ES"/>
        </w:rPr>
        <w:t xml:space="preserve">crear comités </w:t>
      </w:r>
      <w:r w:rsidRPr="00060A2B" w:rsidR="00891F77">
        <w:rPr>
          <w:rFonts w:eastAsia="Arial" w:cs="Arial"/>
          <w:color w:val="000000" w:themeColor="text1"/>
          <w:sz w:val="16"/>
          <w:szCs w:val="16"/>
          <w:lang w:val="es-ES"/>
        </w:rPr>
        <w:t xml:space="preserve">en los cuales podrán participar </w:t>
      </w:r>
      <w:r w:rsidRPr="00060A2B" w:rsidR="721339A1">
        <w:rPr>
          <w:rFonts w:eastAsia="Arial" w:cs="Arial"/>
          <w:color w:val="000000" w:themeColor="text1"/>
          <w:sz w:val="16"/>
          <w:szCs w:val="16"/>
          <w:lang w:val="es-ES"/>
        </w:rPr>
        <w:t>miembros ind</w:t>
      </w:r>
      <w:r w:rsidRPr="00060A2B" w:rsidR="7048CE72">
        <w:rPr>
          <w:rFonts w:eastAsia="Arial" w:cs="Arial"/>
          <w:color w:val="000000" w:themeColor="text1"/>
          <w:sz w:val="16"/>
          <w:szCs w:val="16"/>
          <w:lang w:val="es-ES"/>
        </w:rPr>
        <w:t>ependientes de la entidad.</w:t>
      </w:r>
      <w:r w:rsidRPr="00060A2B" w:rsidR="6A6D9A8E">
        <w:rPr>
          <w:rFonts w:eastAsia="Arial" w:cs="Arial"/>
          <w:color w:val="000000" w:themeColor="text1"/>
          <w:sz w:val="16"/>
          <w:szCs w:val="16"/>
          <w:lang w:val="es-ES"/>
        </w:rPr>
        <w:t xml:space="preserve"> </w:t>
      </w:r>
      <w:r w:rsidRPr="00060A2B" w:rsidR="730D64CB">
        <w:rPr>
          <w:rFonts w:eastAsia="Arial" w:cs="Arial"/>
          <w:color w:val="000000" w:themeColor="text1"/>
          <w:sz w:val="16"/>
          <w:szCs w:val="16"/>
          <w:lang w:val="es-ES"/>
        </w:rPr>
        <w:t>La política de inversión también debe</w:t>
      </w:r>
      <w:r w:rsidRPr="00060A2B" w:rsidR="003F7EAD">
        <w:rPr>
          <w:rFonts w:eastAsia="Arial" w:cs="Arial"/>
          <w:color w:val="000000" w:themeColor="text1"/>
          <w:sz w:val="16"/>
          <w:szCs w:val="16"/>
          <w:lang w:val="es-ES"/>
        </w:rPr>
        <w:t xml:space="preserve"> señalar los mecanismos que aseguren </w:t>
      </w:r>
      <w:r w:rsidRPr="00060A2B" w:rsidR="730D64CB">
        <w:rPr>
          <w:rFonts w:eastAsia="Arial" w:cs="Arial"/>
          <w:color w:val="000000" w:themeColor="text1"/>
          <w:sz w:val="16"/>
          <w:szCs w:val="16"/>
          <w:lang w:val="es-ES"/>
        </w:rPr>
        <w:t xml:space="preserve">que </w:t>
      </w:r>
      <w:r w:rsidRPr="00060A2B" w:rsidR="10EF531E">
        <w:rPr>
          <w:rFonts w:eastAsia="Arial" w:cs="Arial"/>
          <w:color w:val="000000" w:themeColor="text1"/>
          <w:sz w:val="16"/>
          <w:szCs w:val="16"/>
          <w:lang w:val="es-ES"/>
        </w:rPr>
        <w:t>las áreas y comités designad</w:t>
      </w:r>
      <w:r w:rsidRPr="00060A2B" w:rsidR="003F7EAD">
        <w:rPr>
          <w:rFonts w:eastAsia="Arial" w:cs="Arial"/>
          <w:color w:val="000000" w:themeColor="text1"/>
          <w:sz w:val="16"/>
          <w:szCs w:val="16"/>
          <w:lang w:val="es-ES"/>
        </w:rPr>
        <w:t>o</w:t>
      </w:r>
      <w:r w:rsidRPr="00060A2B" w:rsidR="10EF531E">
        <w:rPr>
          <w:rFonts w:eastAsia="Arial" w:cs="Arial"/>
          <w:color w:val="000000" w:themeColor="text1"/>
          <w:sz w:val="16"/>
          <w:szCs w:val="16"/>
          <w:lang w:val="es-ES"/>
        </w:rPr>
        <w:t xml:space="preserve">s para </w:t>
      </w:r>
      <w:r w:rsidRPr="00060A2B" w:rsidR="003F7EAD">
        <w:rPr>
          <w:rFonts w:eastAsia="Arial" w:cs="Arial"/>
          <w:color w:val="000000" w:themeColor="text1"/>
          <w:sz w:val="16"/>
          <w:szCs w:val="16"/>
          <w:lang w:val="es-ES"/>
        </w:rPr>
        <w:t>l</w:t>
      </w:r>
      <w:r w:rsidRPr="00060A2B" w:rsidR="10EF531E">
        <w:rPr>
          <w:rFonts w:eastAsia="Arial" w:cs="Arial"/>
          <w:color w:val="000000" w:themeColor="text1"/>
          <w:sz w:val="16"/>
          <w:szCs w:val="16"/>
          <w:lang w:val="es-ES"/>
        </w:rPr>
        <w:t>a gestión de inversiones y administración de sus riesgos</w:t>
      </w:r>
      <w:r w:rsidRPr="00060A2B" w:rsidR="730D64CB">
        <w:rPr>
          <w:rFonts w:cs="Arial"/>
          <w:sz w:val="16"/>
          <w:szCs w:val="16"/>
        </w:rPr>
        <w:t xml:space="preserve">: (i) </w:t>
      </w:r>
      <w:r w:rsidRPr="00060A2B" w:rsidR="72BB9EE6">
        <w:rPr>
          <w:rFonts w:cs="Arial"/>
          <w:sz w:val="16"/>
          <w:szCs w:val="16"/>
        </w:rPr>
        <w:t xml:space="preserve">tengan </w:t>
      </w:r>
      <w:r w:rsidRPr="00060A2B" w:rsidR="730D64CB">
        <w:rPr>
          <w:rFonts w:cs="Arial"/>
          <w:sz w:val="16"/>
          <w:szCs w:val="16"/>
        </w:rPr>
        <w:t xml:space="preserve">acceso directo a la junta directiva, a los representantes legales, a las unidades de negocio y demás dependencias de la entidad, así como a sus registros e información, y (ii) </w:t>
      </w:r>
      <w:r w:rsidRPr="00060A2B" w:rsidR="3867067C">
        <w:rPr>
          <w:rFonts w:cs="Arial"/>
          <w:sz w:val="16"/>
          <w:szCs w:val="16"/>
        </w:rPr>
        <w:t xml:space="preserve">cuenten </w:t>
      </w:r>
      <w:r w:rsidRPr="00060A2B" w:rsidR="730D64CB">
        <w:rPr>
          <w:rFonts w:cs="Arial"/>
          <w:sz w:val="16"/>
          <w:szCs w:val="16"/>
        </w:rPr>
        <w:t>con el nivel jerárquico, el poder de decisión y la autoridad suficiente para cumplir con sus funciones y responsabilidades</w:t>
      </w:r>
      <w:r w:rsidRPr="000A549E" w:rsidR="004073AC">
        <w:rPr>
          <w:rFonts w:cs="Arial"/>
          <w:sz w:val="16"/>
          <w:szCs w:val="16"/>
        </w:rPr>
        <w:t xml:space="preserve">, así como </w:t>
      </w:r>
      <w:r w:rsidRPr="00060A2B" w:rsidR="730D64CB">
        <w:rPr>
          <w:rFonts w:cs="Arial"/>
          <w:sz w:val="16"/>
          <w:szCs w:val="16"/>
        </w:rPr>
        <w:t>para hacer recomendaciones y seguimiento a las medidas tomadas por la administración, en respuesta a las circunstancias y oportunidades de mejora identificadas.</w:t>
      </w:r>
    </w:p>
    <w:p w:rsidR="0659F537" w:rsidRPr="00060A2B" w:rsidP="00CC2130" w14:paraId="17492EBC" w14:textId="77777777">
      <w:pPr>
        <w:pBdr>
          <w:left w:val="single" w:sz="4" w:space="1" w:color="auto"/>
        </w:pBdr>
        <w:autoSpaceDE w:val="0"/>
        <w:autoSpaceDN w:val="0"/>
        <w:adjustRightInd w:val="0"/>
        <w:rPr>
          <w:rFonts w:cs="Arial"/>
          <w:sz w:val="16"/>
          <w:szCs w:val="16"/>
        </w:rPr>
      </w:pPr>
    </w:p>
    <w:p w:rsidR="289C86B8" w:rsidRPr="00060A2B" w:rsidP="00CC2130" w14:paraId="6D92AAE6" w14:textId="0C551143">
      <w:pPr>
        <w:pBdr>
          <w:left w:val="single" w:sz="4" w:space="1" w:color="auto"/>
        </w:pBdr>
        <w:autoSpaceDE w:val="0"/>
        <w:autoSpaceDN w:val="0"/>
        <w:adjustRightInd w:val="0"/>
        <w:rPr>
          <w:rFonts w:cs="Arial"/>
          <w:sz w:val="16"/>
          <w:szCs w:val="16"/>
        </w:rPr>
      </w:pPr>
      <w:r w:rsidRPr="00060A2B">
        <w:rPr>
          <w:rFonts w:cs="Arial"/>
          <w:sz w:val="16"/>
          <w:szCs w:val="16"/>
        </w:rPr>
        <w:t xml:space="preserve">Dentro de las funciones que </w:t>
      </w:r>
      <w:r w:rsidRPr="000A549E" w:rsidR="006C1502">
        <w:rPr>
          <w:rFonts w:cs="Arial"/>
          <w:sz w:val="16"/>
          <w:szCs w:val="16"/>
        </w:rPr>
        <w:t>asigne</w:t>
      </w:r>
      <w:r w:rsidRPr="00060A2B">
        <w:rPr>
          <w:rFonts w:cs="Arial"/>
          <w:sz w:val="16"/>
          <w:szCs w:val="16"/>
        </w:rPr>
        <w:t xml:space="preserve"> la política de inversión en relación con la gestión de inversiones y administración de sus riesgos, deberán señalarse por lo menos las sigui</w:t>
      </w:r>
      <w:r w:rsidRPr="00060A2B" w:rsidR="4EAF769D">
        <w:rPr>
          <w:rFonts w:cs="Arial"/>
          <w:sz w:val="16"/>
          <w:szCs w:val="16"/>
        </w:rPr>
        <w:t>entes en cabeza de un área o comité previamente definido:</w:t>
      </w:r>
    </w:p>
    <w:p w:rsidR="30DCC284" w:rsidRPr="00060A2B" w:rsidP="00DB1073" w14:paraId="2EB33A22" w14:textId="77777777">
      <w:pPr>
        <w:pBdr>
          <w:left w:val="single" w:sz="4" w:space="1" w:color="auto"/>
        </w:pBdr>
        <w:rPr>
          <w:rFonts w:cs="Arial"/>
          <w:sz w:val="12"/>
          <w:szCs w:val="12"/>
        </w:rPr>
      </w:pPr>
    </w:p>
    <w:p w:rsidR="00CD1B9E" w:rsidRPr="00060A2B" w:rsidP="00DB1073" w14:paraId="2CC9F881" w14:textId="77777777">
      <w:pPr>
        <w:pBdr>
          <w:left w:val="single" w:sz="4" w:space="1" w:color="auto"/>
        </w:pBdr>
        <w:autoSpaceDE w:val="0"/>
        <w:autoSpaceDN w:val="0"/>
        <w:adjustRightInd w:val="0"/>
        <w:rPr>
          <w:rFonts w:cs="Arial"/>
          <w:sz w:val="16"/>
          <w:szCs w:val="16"/>
        </w:rPr>
      </w:pPr>
      <w:r w:rsidRPr="00060A2B">
        <w:rPr>
          <w:rFonts w:cs="Arial"/>
          <w:sz w:val="16"/>
          <w:szCs w:val="16"/>
        </w:rPr>
        <w:t>2.1. Proponer a la junta directiva, para su respectiva aprobación, las políticas de la entidad en la administración o gestión de riesgos</w:t>
      </w:r>
      <w:r w:rsidRPr="00060A2B" w:rsidR="0383DBAC">
        <w:rPr>
          <w:rFonts w:cs="Arial"/>
          <w:sz w:val="16"/>
          <w:szCs w:val="16"/>
        </w:rPr>
        <w:t xml:space="preserve"> inherentes a la actividad de inversión</w:t>
      </w:r>
      <w:r w:rsidRPr="00060A2B" w:rsidR="00E63E81">
        <w:rPr>
          <w:rFonts w:cs="Arial"/>
          <w:sz w:val="16"/>
          <w:szCs w:val="16"/>
        </w:rPr>
        <w:t>.</w:t>
      </w:r>
    </w:p>
    <w:p w:rsidR="00CD1B9E" w:rsidRPr="00060A2B" w:rsidP="00DB1073" w14:paraId="5B4F31A5" w14:textId="77777777">
      <w:pPr>
        <w:pBdr>
          <w:left w:val="single" w:sz="4" w:space="1" w:color="auto"/>
        </w:pBdr>
        <w:autoSpaceDE w:val="0"/>
        <w:autoSpaceDN w:val="0"/>
        <w:adjustRightInd w:val="0"/>
        <w:rPr>
          <w:rFonts w:cs="Arial"/>
          <w:sz w:val="16"/>
          <w:szCs w:val="16"/>
        </w:rPr>
      </w:pPr>
    </w:p>
    <w:p w:rsidR="00A66B7B" w:rsidRPr="00060A2B" w:rsidP="00DB1073" w14:paraId="08307D68" w14:textId="7E3D9A14">
      <w:pPr>
        <w:pBdr>
          <w:left w:val="single" w:sz="4" w:space="1" w:color="auto"/>
        </w:pBdr>
        <w:autoSpaceDE w:val="0"/>
        <w:autoSpaceDN w:val="0"/>
        <w:adjustRightInd w:val="0"/>
        <w:rPr>
          <w:rFonts w:cs="Arial"/>
          <w:sz w:val="16"/>
          <w:szCs w:val="16"/>
        </w:rPr>
      </w:pPr>
      <w:r w:rsidRPr="00060A2B">
        <w:rPr>
          <w:rFonts w:cs="Arial"/>
          <w:sz w:val="16"/>
          <w:szCs w:val="16"/>
        </w:rPr>
        <w:t xml:space="preserve">2.2. Evaluar y hacer seguimiento a los informes sobre el cumplimiento de las políticas de administración o gestión de riesgos </w:t>
      </w:r>
      <w:r w:rsidRPr="00060A2B" w:rsidR="1CD45385">
        <w:rPr>
          <w:rFonts w:cs="Arial"/>
          <w:sz w:val="16"/>
          <w:szCs w:val="16"/>
        </w:rPr>
        <w:t>inherentes a la actividad de inversión</w:t>
      </w:r>
      <w:r w:rsidRPr="000A549E" w:rsidR="002715A5">
        <w:rPr>
          <w:rFonts w:cs="Arial"/>
          <w:sz w:val="16"/>
          <w:szCs w:val="16"/>
        </w:rPr>
        <w:t>,</w:t>
      </w:r>
      <w:r w:rsidRPr="00060A2B" w:rsidR="00E63E81">
        <w:rPr>
          <w:rFonts w:cs="Arial"/>
          <w:sz w:val="16"/>
          <w:szCs w:val="16"/>
        </w:rPr>
        <w:t xml:space="preserve"> </w:t>
      </w:r>
      <w:r w:rsidRPr="00060A2B">
        <w:rPr>
          <w:rFonts w:cs="Arial"/>
          <w:sz w:val="16"/>
          <w:szCs w:val="16"/>
        </w:rPr>
        <w:t>y presentar ante la junta directiva</w:t>
      </w:r>
      <w:r w:rsidRPr="00060A2B" w:rsidR="00EA049F">
        <w:rPr>
          <w:rFonts w:cs="Arial"/>
          <w:sz w:val="16"/>
          <w:szCs w:val="16"/>
        </w:rPr>
        <w:t xml:space="preserve"> un informe </w:t>
      </w:r>
      <w:r w:rsidRPr="00060A2B" w:rsidR="00CC2130">
        <w:rPr>
          <w:rFonts w:cs="Arial"/>
          <w:sz w:val="16"/>
          <w:szCs w:val="16"/>
        </w:rPr>
        <w:t>semestral</w:t>
      </w:r>
      <w:r w:rsidRPr="00060A2B" w:rsidR="00EA049F">
        <w:rPr>
          <w:rFonts w:cs="Arial"/>
          <w:sz w:val="16"/>
          <w:szCs w:val="16"/>
        </w:rPr>
        <w:t xml:space="preserve"> </w:t>
      </w:r>
      <w:r w:rsidRPr="00060A2B">
        <w:rPr>
          <w:rFonts w:cs="Arial"/>
          <w:sz w:val="16"/>
          <w:szCs w:val="16"/>
        </w:rPr>
        <w:t>sobre dicha evaluación</w:t>
      </w:r>
      <w:r w:rsidRPr="00060A2B" w:rsidR="00E34EE7">
        <w:rPr>
          <w:rFonts w:cs="Arial"/>
          <w:sz w:val="16"/>
          <w:szCs w:val="16"/>
        </w:rPr>
        <w:t>,</w:t>
      </w:r>
      <w:r w:rsidRPr="00060A2B" w:rsidR="00E60C2F">
        <w:rPr>
          <w:rFonts w:cs="Arial"/>
          <w:sz w:val="16"/>
          <w:szCs w:val="16"/>
        </w:rPr>
        <w:t xml:space="preserve"> salvo que ocurra una situación que justifique un reporte adicional</w:t>
      </w:r>
      <w:r w:rsidRPr="00060A2B">
        <w:rPr>
          <w:rFonts w:cs="Arial"/>
          <w:sz w:val="16"/>
          <w:szCs w:val="16"/>
        </w:rPr>
        <w:t>.</w:t>
      </w:r>
    </w:p>
    <w:p w:rsidR="00A66B7B" w:rsidRPr="00060A2B" w:rsidP="00DB1073" w14:paraId="4747B8ED" w14:textId="77777777">
      <w:pPr>
        <w:pBdr>
          <w:left w:val="single" w:sz="4" w:space="1" w:color="auto"/>
        </w:pBdr>
        <w:tabs>
          <w:tab w:val="num" w:pos="720"/>
        </w:tabs>
        <w:autoSpaceDE w:val="0"/>
        <w:autoSpaceDN w:val="0"/>
        <w:adjustRightInd w:val="0"/>
        <w:rPr>
          <w:rFonts w:cs="Arial"/>
          <w:sz w:val="16"/>
          <w:szCs w:val="16"/>
        </w:rPr>
      </w:pPr>
    </w:p>
    <w:p w:rsidR="00A66B7B" w:rsidRPr="00060A2B" w:rsidP="00DB1073" w14:paraId="258E3424" w14:textId="77777777">
      <w:pPr>
        <w:pBdr>
          <w:left w:val="single" w:sz="4" w:space="1" w:color="auto"/>
        </w:pBdr>
        <w:tabs>
          <w:tab w:val="num" w:pos="720"/>
        </w:tabs>
        <w:autoSpaceDE w:val="0"/>
        <w:autoSpaceDN w:val="0"/>
        <w:adjustRightInd w:val="0"/>
        <w:rPr>
          <w:rFonts w:cs="Arial"/>
          <w:sz w:val="16"/>
          <w:szCs w:val="16"/>
        </w:rPr>
      </w:pPr>
      <w:r w:rsidRPr="00060A2B">
        <w:rPr>
          <w:rFonts w:cs="Arial"/>
          <w:sz w:val="16"/>
          <w:szCs w:val="16"/>
        </w:rPr>
        <w:t xml:space="preserve">2.3. Proponer a la junta directiva para su respectiva aprobación, las metodologías de identificación, medición, control y monitoreo de los riesgos inherentes a la actividad de inversión </w:t>
      </w:r>
      <w:r w:rsidRPr="00060A2B" w:rsidR="00E63E81">
        <w:rPr>
          <w:rFonts w:cs="Arial"/>
          <w:sz w:val="16"/>
          <w:szCs w:val="16"/>
        </w:rPr>
        <w:t xml:space="preserve">y evaluar los resultados sobre </w:t>
      </w:r>
      <w:r w:rsidRPr="00060A2B" w:rsidR="00E63E81">
        <w:rPr>
          <w:rFonts w:cs="Arial"/>
          <w:i/>
          <w:iCs/>
          <w:sz w:val="16"/>
          <w:szCs w:val="16"/>
        </w:rPr>
        <w:t>back</w:t>
      </w:r>
      <w:r w:rsidRPr="00060A2B" w:rsidR="00E63E81">
        <w:rPr>
          <w:rFonts w:cs="Arial"/>
          <w:sz w:val="16"/>
          <w:szCs w:val="16"/>
        </w:rPr>
        <w:t xml:space="preserve"> y </w:t>
      </w:r>
      <w:r w:rsidRPr="00060A2B" w:rsidR="00E63E81">
        <w:rPr>
          <w:rFonts w:cs="Arial"/>
          <w:i/>
          <w:iCs/>
          <w:sz w:val="16"/>
          <w:szCs w:val="16"/>
        </w:rPr>
        <w:t xml:space="preserve">stress </w:t>
      </w:r>
      <w:r w:rsidRPr="00060A2B" w:rsidR="00E63E81">
        <w:rPr>
          <w:rFonts w:cs="Arial"/>
          <w:i/>
          <w:iCs/>
          <w:sz w:val="16"/>
          <w:szCs w:val="16"/>
        </w:rPr>
        <w:t>testing</w:t>
      </w:r>
      <w:r w:rsidRPr="00060A2B" w:rsidR="00E63E81">
        <w:rPr>
          <w:rFonts w:cs="Arial"/>
          <w:sz w:val="16"/>
          <w:szCs w:val="16"/>
        </w:rPr>
        <w:t xml:space="preserve">. </w:t>
      </w:r>
    </w:p>
    <w:p w:rsidR="00A66B7B" w:rsidRPr="00060A2B" w:rsidP="00DB1073" w14:paraId="5B730CF6" w14:textId="77777777">
      <w:pPr>
        <w:pBdr>
          <w:left w:val="single" w:sz="4" w:space="1" w:color="auto"/>
        </w:pBdr>
        <w:tabs>
          <w:tab w:val="num" w:pos="720"/>
        </w:tabs>
        <w:autoSpaceDE w:val="0"/>
        <w:autoSpaceDN w:val="0"/>
        <w:adjustRightInd w:val="0"/>
        <w:rPr>
          <w:rFonts w:cs="Arial"/>
          <w:sz w:val="14"/>
          <w:szCs w:val="14"/>
        </w:rPr>
      </w:pPr>
    </w:p>
    <w:p w:rsidR="00A66B7B" w:rsidRPr="00060A2B" w:rsidP="00DB1073" w14:paraId="67C528EF" w14:textId="77777777">
      <w:pPr>
        <w:pBdr>
          <w:left w:val="single" w:sz="4" w:space="1" w:color="auto"/>
        </w:pBdr>
        <w:tabs>
          <w:tab w:val="num" w:pos="720"/>
        </w:tabs>
        <w:autoSpaceDE w:val="0"/>
        <w:autoSpaceDN w:val="0"/>
        <w:adjustRightInd w:val="0"/>
        <w:rPr>
          <w:rFonts w:cs="Arial"/>
          <w:sz w:val="16"/>
          <w:szCs w:val="16"/>
        </w:rPr>
      </w:pPr>
      <w:r w:rsidRPr="00060A2B">
        <w:rPr>
          <w:rFonts w:cs="Arial"/>
          <w:sz w:val="16"/>
          <w:szCs w:val="16"/>
        </w:rPr>
        <w:t>2.</w:t>
      </w:r>
      <w:r w:rsidRPr="00060A2B" w:rsidR="00E60C2F">
        <w:rPr>
          <w:rFonts w:cs="Arial"/>
          <w:sz w:val="16"/>
          <w:szCs w:val="16"/>
        </w:rPr>
        <w:t>4</w:t>
      </w:r>
      <w:r w:rsidRPr="00060A2B">
        <w:rPr>
          <w:rFonts w:cs="Arial"/>
          <w:sz w:val="16"/>
          <w:szCs w:val="16"/>
        </w:rPr>
        <w:t xml:space="preserve">. </w:t>
      </w:r>
      <w:r w:rsidRPr="00060A2B" w:rsidR="0F41EDE3">
        <w:rPr>
          <w:rFonts w:cs="Arial"/>
          <w:sz w:val="16"/>
          <w:szCs w:val="16"/>
        </w:rPr>
        <w:t>Seleccionar</w:t>
      </w:r>
      <w:r w:rsidRPr="00060A2B" w:rsidR="21C16751">
        <w:rPr>
          <w:rFonts w:cs="Arial"/>
          <w:sz w:val="16"/>
          <w:szCs w:val="16"/>
        </w:rPr>
        <w:t xml:space="preserve"> </w:t>
      </w:r>
      <w:r w:rsidRPr="00060A2B">
        <w:rPr>
          <w:rFonts w:cs="Arial"/>
          <w:sz w:val="16"/>
          <w:szCs w:val="16"/>
        </w:rPr>
        <w:t xml:space="preserve">los distintos emisores, contrapartes y gestores de fondos, así como </w:t>
      </w:r>
      <w:r w:rsidRPr="00060A2B" w:rsidR="534E6741">
        <w:rPr>
          <w:rFonts w:cs="Arial"/>
          <w:sz w:val="16"/>
          <w:szCs w:val="16"/>
        </w:rPr>
        <w:t>definir</w:t>
      </w:r>
      <w:r w:rsidRPr="00060A2B">
        <w:rPr>
          <w:rFonts w:cs="Arial"/>
          <w:sz w:val="16"/>
          <w:szCs w:val="16"/>
        </w:rPr>
        <w:t xml:space="preserve"> los cupos de inversión en </w:t>
      </w:r>
      <w:r w:rsidRPr="00060A2B" w:rsidR="56476A08">
        <w:rPr>
          <w:rFonts w:cs="Arial"/>
          <w:sz w:val="16"/>
          <w:szCs w:val="16"/>
        </w:rPr>
        <w:t>ellos</w:t>
      </w:r>
      <w:r w:rsidRPr="00060A2B">
        <w:rPr>
          <w:rFonts w:cs="Arial"/>
          <w:sz w:val="16"/>
          <w:szCs w:val="16"/>
        </w:rPr>
        <w:t>.</w:t>
      </w:r>
    </w:p>
    <w:p w:rsidR="00A66B7B" w:rsidRPr="00060A2B" w:rsidP="00DB1073" w14:paraId="11C0446D" w14:textId="77777777">
      <w:pPr>
        <w:pBdr>
          <w:left w:val="single" w:sz="4" w:space="1" w:color="auto"/>
        </w:pBdr>
        <w:tabs>
          <w:tab w:val="num" w:pos="720"/>
        </w:tabs>
        <w:autoSpaceDE w:val="0"/>
        <w:autoSpaceDN w:val="0"/>
        <w:adjustRightInd w:val="0"/>
        <w:ind w:left="720" w:hanging="720"/>
        <w:rPr>
          <w:rFonts w:cs="Arial"/>
          <w:sz w:val="14"/>
          <w:szCs w:val="14"/>
        </w:rPr>
      </w:pPr>
    </w:p>
    <w:p w:rsidR="00A66B7B" w:rsidRPr="00060A2B" w:rsidP="00DB1073" w14:paraId="180DB6C8" w14:textId="77777777">
      <w:pPr>
        <w:pBdr>
          <w:left w:val="single" w:sz="4" w:space="1" w:color="auto"/>
        </w:pBdr>
        <w:tabs>
          <w:tab w:val="num" w:pos="720"/>
        </w:tabs>
        <w:autoSpaceDE w:val="0"/>
        <w:autoSpaceDN w:val="0"/>
        <w:adjustRightInd w:val="0"/>
        <w:rPr>
          <w:rFonts w:cs="Arial"/>
          <w:sz w:val="16"/>
          <w:szCs w:val="16"/>
        </w:rPr>
      </w:pPr>
      <w:r w:rsidRPr="00060A2B">
        <w:rPr>
          <w:rFonts w:cs="Arial"/>
          <w:sz w:val="16"/>
          <w:szCs w:val="16"/>
        </w:rPr>
        <w:t>2.</w:t>
      </w:r>
      <w:r w:rsidRPr="00060A2B" w:rsidR="00E60C2F">
        <w:rPr>
          <w:rFonts w:cs="Arial"/>
          <w:sz w:val="16"/>
          <w:szCs w:val="16"/>
        </w:rPr>
        <w:t>5</w:t>
      </w:r>
      <w:r w:rsidRPr="00060A2B">
        <w:rPr>
          <w:rFonts w:cs="Arial"/>
          <w:sz w:val="16"/>
          <w:szCs w:val="16"/>
        </w:rPr>
        <w:t xml:space="preserve">. </w:t>
      </w:r>
      <w:bookmarkStart w:id="37" w:name="_Hlk67503726"/>
      <w:r w:rsidRPr="00060A2B" w:rsidR="2F768405">
        <w:rPr>
          <w:rFonts w:cs="Arial"/>
          <w:sz w:val="16"/>
          <w:szCs w:val="16"/>
        </w:rPr>
        <w:t xml:space="preserve">Aprobar </w:t>
      </w:r>
      <w:r w:rsidRPr="00060A2B" w:rsidR="000F0C19">
        <w:rPr>
          <w:rFonts w:cs="Arial"/>
          <w:sz w:val="16"/>
          <w:szCs w:val="16"/>
        </w:rPr>
        <w:t xml:space="preserve">criterios para </w:t>
      </w:r>
      <w:r w:rsidRPr="00060A2B">
        <w:rPr>
          <w:rFonts w:cs="Arial"/>
          <w:sz w:val="16"/>
          <w:szCs w:val="16"/>
        </w:rPr>
        <w:t xml:space="preserve">la </w:t>
      </w:r>
      <w:bookmarkEnd w:id="37"/>
      <w:r w:rsidRPr="00060A2B">
        <w:rPr>
          <w:rFonts w:cs="Arial"/>
          <w:sz w:val="16"/>
          <w:szCs w:val="16"/>
        </w:rPr>
        <w:t xml:space="preserve">adquisición de nuevas clases de activos, garantizando que se ajusten a las políticas de inversión y cumplan con los lineamientos legales. </w:t>
      </w:r>
    </w:p>
    <w:p w:rsidR="00A66B7B" w:rsidRPr="00060A2B" w:rsidP="00DB1073" w14:paraId="6129DE70" w14:textId="77777777">
      <w:pPr>
        <w:pBdr>
          <w:left w:val="single" w:sz="4" w:space="1" w:color="auto"/>
        </w:pBdr>
        <w:tabs>
          <w:tab w:val="num" w:pos="720"/>
        </w:tabs>
        <w:autoSpaceDE w:val="0"/>
        <w:autoSpaceDN w:val="0"/>
        <w:adjustRightInd w:val="0"/>
        <w:rPr>
          <w:rFonts w:cs="Arial"/>
          <w:sz w:val="16"/>
          <w:szCs w:val="16"/>
        </w:rPr>
      </w:pPr>
    </w:p>
    <w:p w:rsidR="003F5192" w:rsidRPr="00060A2B" w:rsidP="00DB1073" w14:paraId="1E4748FA" w14:textId="77777777">
      <w:pPr>
        <w:pBdr>
          <w:left w:val="single" w:sz="4" w:space="1" w:color="auto"/>
        </w:pBdr>
        <w:tabs>
          <w:tab w:val="num" w:pos="720"/>
        </w:tabs>
        <w:rPr>
          <w:rFonts w:cs="Arial"/>
          <w:sz w:val="16"/>
          <w:szCs w:val="16"/>
        </w:rPr>
      </w:pPr>
      <w:r w:rsidRPr="00060A2B">
        <w:rPr>
          <w:rFonts w:cs="Arial"/>
          <w:sz w:val="16"/>
          <w:szCs w:val="16"/>
        </w:rPr>
        <w:t>2.</w:t>
      </w:r>
      <w:r w:rsidRPr="00060A2B" w:rsidR="00E60C2F">
        <w:rPr>
          <w:rFonts w:cs="Arial"/>
          <w:sz w:val="16"/>
          <w:szCs w:val="16"/>
        </w:rPr>
        <w:t>6</w:t>
      </w:r>
      <w:r w:rsidRPr="00060A2B">
        <w:rPr>
          <w:rFonts w:cs="Arial"/>
          <w:sz w:val="16"/>
          <w:szCs w:val="16"/>
        </w:rPr>
        <w:t xml:space="preserve">. </w:t>
      </w:r>
      <w:r w:rsidRPr="00060A2B" w:rsidR="00ED3A70">
        <w:rPr>
          <w:rFonts w:cs="Arial"/>
          <w:sz w:val="16"/>
          <w:szCs w:val="16"/>
        </w:rPr>
        <w:t>Efectuar</w:t>
      </w:r>
      <w:r w:rsidRPr="00060A2B">
        <w:rPr>
          <w:rFonts w:cs="Arial"/>
          <w:sz w:val="16"/>
          <w:szCs w:val="16"/>
        </w:rPr>
        <w:t xml:space="preserve"> seguimiento permanente al mercado con el fin de conocer sobre cualquier evento o contingencia que pudiera afectar </w:t>
      </w:r>
      <w:r w:rsidRPr="00060A2B" w:rsidR="00F04DEC">
        <w:rPr>
          <w:rFonts w:cs="Arial"/>
          <w:sz w:val="16"/>
          <w:szCs w:val="16"/>
        </w:rPr>
        <w:t>la valoración del portafolio de inversiones</w:t>
      </w:r>
      <w:r w:rsidRPr="00060A2B" w:rsidR="7BFA0EF2">
        <w:rPr>
          <w:rFonts w:cs="Arial"/>
          <w:sz w:val="16"/>
          <w:szCs w:val="16"/>
        </w:rPr>
        <w:t>, incluyendo lo relacionado con riesgos emergentes</w:t>
      </w:r>
      <w:r w:rsidRPr="00060A2B" w:rsidR="2084B44C">
        <w:rPr>
          <w:rFonts w:cs="Arial"/>
          <w:sz w:val="16"/>
          <w:szCs w:val="16"/>
        </w:rPr>
        <w:t>.</w:t>
      </w:r>
    </w:p>
    <w:p w:rsidR="4DB71304" w:rsidRPr="00060A2B" w:rsidP="00DB1073" w14:paraId="2FC773F1" w14:textId="77777777">
      <w:pPr>
        <w:pBdr>
          <w:left w:val="single" w:sz="4" w:space="1" w:color="auto"/>
        </w:pBdr>
        <w:tabs>
          <w:tab w:val="num" w:pos="720"/>
        </w:tabs>
        <w:rPr>
          <w:rFonts w:cs="Arial"/>
          <w:sz w:val="16"/>
          <w:szCs w:val="16"/>
        </w:rPr>
      </w:pPr>
    </w:p>
    <w:p w:rsidR="00A66B7B" w:rsidRPr="00060A2B" w:rsidP="00DB1073" w14:paraId="11B7A538" w14:textId="5CC65416">
      <w:pPr>
        <w:pBdr>
          <w:left w:val="single" w:sz="4" w:space="1" w:color="auto"/>
        </w:pBdr>
        <w:tabs>
          <w:tab w:val="num" w:pos="720"/>
        </w:tabs>
        <w:autoSpaceDE w:val="0"/>
        <w:autoSpaceDN w:val="0"/>
        <w:adjustRightInd w:val="0"/>
        <w:rPr>
          <w:rFonts w:cs="Arial"/>
          <w:sz w:val="16"/>
          <w:szCs w:val="16"/>
        </w:rPr>
      </w:pPr>
      <w:r w:rsidRPr="00060A2B">
        <w:rPr>
          <w:rFonts w:cs="Arial"/>
          <w:sz w:val="16"/>
          <w:szCs w:val="16"/>
        </w:rPr>
        <w:t>2.</w:t>
      </w:r>
      <w:r w:rsidRPr="00060A2B" w:rsidR="00ED3A70">
        <w:rPr>
          <w:rFonts w:cs="Arial"/>
          <w:sz w:val="16"/>
          <w:szCs w:val="16"/>
        </w:rPr>
        <w:t>7</w:t>
      </w:r>
      <w:r w:rsidRPr="00060A2B">
        <w:rPr>
          <w:rFonts w:cs="Arial"/>
          <w:sz w:val="16"/>
          <w:szCs w:val="16"/>
        </w:rPr>
        <w:t xml:space="preserve"> </w:t>
      </w:r>
      <w:r w:rsidRPr="00060A2B" w:rsidR="00B83699">
        <w:rPr>
          <w:rFonts w:cs="Arial"/>
          <w:sz w:val="16"/>
          <w:szCs w:val="16"/>
        </w:rPr>
        <w:t>Hacer</w:t>
      </w:r>
      <w:r w:rsidRPr="00060A2B">
        <w:rPr>
          <w:rFonts w:cs="Arial"/>
          <w:sz w:val="16"/>
          <w:szCs w:val="16"/>
        </w:rPr>
        <w:t xml:space="preserve"> seguimiento al cumplimiento de la política de inversión</w:t>
      </w:r>
      <w:r w:rsidRPr="00060A2B" w:rsidR="00684B04">
        <w:rPr>
          <w:rFonts w:cs="Arial"/>
          <w:sz w:val="16"/>
          <w:szCs w:val="16"/>
        </w:rPr>
        <w:t xml:space="preserve"> y a</w:t>
      </w:r>
      <w:r w:rsidRPr="00060A2B">
        <w:rPr>
          <w:rFonts w:cs="Arial"/>
          <w:sz w:val="16"/>
          <w:szCs w:val="16"/>
        </w:rPr>
        <w:t xml:space="preserve"> las condiciones que deben cumplir las inversiones.</w:t>
      </w:r>
    </w:p>
    <w:p w:rsidR="00A66B7B" w:rsidRPr="00060A2B" w:rsidP="00DB1073" w14:paraId="4D49FF74" w14:textId="77777777">
      <w:pPr>
        <w:pBdr>
          <w:left w:val="single" w:sz="4" w:space="1" w:color="auto"/>
        </w:pBdr>
        <w:tabs>
          <w:tab w:val="num" w:pos="720"/>
        </w:tabs>
        <w:autoSpaceDE w:val="0"/>
        <w:autoSpaceDN w:val="0"/>
        <w:adjustRightInd w:val="0"/>
        <w:ind w:left="720" w:hanging="720"/>
        <w:rPr>
          <w:rFonts w:cs="Arial"/>
          <w:sz w:val="14"/>
          <w:szCs w:val="16"/>
        </w:rPr>
      </w:pPr>
    </w:p>
    <w:p w:rsidR="00CD1B9E" w:rsidRPr="00060A2B" w:rsidP="00DB1073" w14:paraId="2AD9E221" w14:textId="77777777">
      <w:pPr>
        <w:pBdr>
          <w:left w:val="single" w:sz="4" w:space="1" w:color="auto"/>
        </w:pBdr>
        <w:tabs>
          <w:tab w:val="num" w:pos="720"/>
        </w:tabs>
        <w:autoSpaceDE w:val="0"/>
        <w:autoSpaceDN w:val="0"/>
        <w:adjustRightInd w:val="0"/>
        <w:rPr>
          <w:rFonts w:cs="Arial"/>
          <w:sz w:val="16"/>
          <w:szCs w:val="16"/>
        </w:rPr>
      </w:pPr>
      <w:r w:rsidRPr="00060A2B">
        <w:rPr>
          <w:rFonts w:cs="Arial"/>
          <w:sz w:val="16"/>
          <w:szCs w:val="16"/>
        </w:rPr>
        <w:t>2.</w:t>
      </w:r>
      <w:r w:rsidRPr="00060A2B" w:rsidR="00ED3A70">
        <w:rPr>
          <w:rFonts w:cs="Arial"/>
          <w:sz w:val="16"/>
          <w:szCs w:val="16"/>
        </w:rPr>
        <w:t>8</w:t>
      </w:r>
      <w:r w:rsidRPr="00060A2B">
        <w:rPr>
          <w:rFonts w:cs="Arial"/>
          <w:sz w:val="16"/>
          <w:szCs w:val="16"/>
        </w:rPr>
        <w:t xml:space="preserve">. </w:t>
      </w:r>
      <w:r w:rsidRPr="00060A2B" w:rsidR="006F59BD">
        <w:rPr>
          <w:rFonts w:cs="Arial"/>
          <w:sz w:val="16"/>
          <w:szCs w:val="16"/>
        </w:rPr>
        <w:t>M</w:t>
      </w:r>
      <w:r w:rsidRPr="00060A2B">
        <w:rPr>
          <w:rFonts w:cs="Arial"/>
          <w:sz w:val="16"/>
          <w:szCs w:val="16"/>
        </w:rPr>
        <w:t>onitorear los límites de inversión internos y legales, y la posición en riesgo de</w:t>
      </w:r>
      <w:r w:rsidRPr="00060A2B" w:rsidR="003F1B0B">
        <w:rPr>
          <w:rFonts w:cs="Arial"/>
          <w:sz w:val="16"/>
          <w:szCs w:val="16"/>
        </w:rPr>
        <w:t>l portafolio de in</w:t>
      </w:r>
      <w:r w:rsidRPr="00060A2B" w:rsidR="00BE7299">
        <w:rPr>
          <w:rFonts w:cs="Arial"/>
          <w:sz w:val="16"/>
          <w:szCs w:val="16"/>
        </w:rPr>
        <w:t>versiones</w:t>
      </w:r>
      <w:r w:rsidRPr="00060A2B" w:rsidR="00E63E81">
        <w:rPr>
          <w:rFonts w:cs="Arial"/>
          <w:sz w:val="16"/>
          <w:szCs w:val="16"/>
        </w:rPr>
        <w:t xml:space="preserve">. </w:t>
      </w:r>
    </w:p>
    <w:p w:rsidR="00CD1B9E" w:rsidRPr="00060A2B" w:rsidP="00DB1073" w14:paraId="03C4CF6E" w14:textId="77777777">
      <w:pPr>
        <w:pBdr>
          <w:left w:val="single" w:sz="4" w:space="1" w:color="auto"/>
        </w:pBdr>
        <w:tabs>
          <w:tab w:val="num" w:pos="720"/>
        </w:tabs>
        <w:autoSpaceDE w:val="0"/>
        <w:autoSpaceDN w:val="0"/>
        <w:adjustRightInd w:val="0"/>
        <w:rPr>
          <w:rFonts w:cs="Arial"/>
          <w:sz w:val="16"/>
          <w:szCs w:val="16"/>
        </w:rPr>
      </w:pPr>
    </w:p>
    <w:p w:rsidR="00513EBA" w:rsidRPr="00060A2B" w:rsidP="00DB1073" w14:paraId="30564E5B" w14:textId="15D08D9B">
      <w:pPr>
        <w:pBdr>
          <w:left w:val="single" w:sz="4" w:space="1" w:color="auto"/>
        </w:pBdr>
        <w:tabs>
          <w:tab w:val="num" w:pos="720"/>
        </w:tabs>
        <w:autoSpaceDE w:val="0"/>
        <w:autoSpaceDN w:val="0"/>
        <w:adjustRightInd w:val="0"/>
        <w:rPr>
          <w:rFonts w:cs="Arial"/>
          <w:sz w:val="16"/>
          <w:szCs w:val="16"/>
        </w:rPr>
      </w:pPr>
      <w:r w:rsidRPr="00060A2B">
        <w:rPr>
          <w:rFonts w:cs="Arial"/>
          <w:sz w:val="16"/>
          <w:szCs w:val="16"/>
        </w:rPr>
        <w:t>2.</w:t>
      </w:r>
      <w:r w:rsidRPr="00060A2B" w:rsidR="00ED3A70">
        <w:rPr>
          <w:rFonts w:cs="Arial"/>
          <w:sz w:val="16"/>
          <w:szCs w:val="16"/>
        </w:rPr>
        <w:t>9</w:t>
      </w:r>
      <w:r w:rsidRPr="00060A2B">
        <w:rPr>
          <w:rFonts w:cs="Arial"/>
          <w:sz w:val="16"/>
          <w:szCs w:val="16"/>
        </w:rPr>
        <w:t xml:space="preserve">. Presentar a la junta directiva </w:t>
      </w:r>
      <w:r w:rsidRPr="00060A2B" w:rsidR="0029050C">
        <w:rPr>
          <w:rFonts w:cs="Arial"/>
          <w:sz w:val="16"/>
          <w:szCs w:val="16"/>
        </w:rPr>
        <w:t xml:space="preserve">para su aprobación </w:t>
      </w:r>
      <w:r w:rsidRPr="00060A2B">
        <w:rPr>
          <w:rFonts w:cs="Arial"/>
          <w:sz w:val="16"/>
          <w:szCs w:val="16"/>
        </w:rPr>
        <w:t>el procedimiento a seguir en caso de incumplimiento a los límites de inversión internos y legales</w:t>
      </w:r>
      <w:r w:rsidRPr="00060A2B" w:rsidR="00355608">
        <w:rPr>
          <w:rFonts w:cs="Arial"/>
          <w:sz w:val="16"/>
          <w:szCs w:val="16"/>
        </w:rPr>
        <w:t>, así como</w:t>
      </w:r>
      <w:r w:rsidRPr="00060A2B">
        <w:rPr>
          <w:rFonts w:cs="Arial"/>
          <w:sz w:val="16"/>
          <w:szCs w:val="16"/>
        </w:rPr>
        <w:t xml:space="preserve"> a los límites de exposición a los riesgos inherentes a la actividad de inversión, las </w:t>
      </w:r>
      <w:r w:rsidRPr="00060A2B" w:rsidR="22C3ABAC">
        <w:rPr>
          <w:rFonts w:cs="Arial"/>
          <w:sz w:val="16"/>
          <w:szCs w:val="16"/>
        </w:rPr>
        <w:t>medida</w:t>
      </w:r>
      <w:r w:rsidRPr="00060A2B">
        <w:rPr>
          <w:rFonts w:cs="Arial"/>
          <w:sz w:val="16"/>
          <w:szCs w:val="16"/>
        </w:rPr>
        <w:t>s a aplicar en tales casos, el mecanismo de información a la junta directiva sobre los citados eventos, y hacer seguimiento a dicho procedimiento.</w:t>
      </w:r>
    </w:p>
    <w:p w:rsidR="43105167" w:rsidRPr="00060A2B" w:rsidP="00DB1073" w14:paraId="7A08D704" w14:textId="77777777">
      <w:pPr>
        <w:pBdr>
          <w:left w:val="single" w:sz="4" w:space="1" w:color="auto"/>
        </w:pBdr>
        <w:tabs>
          <w:tab w:val="num" w:pos="720"/>
        </w:tabs>
        <w:rPr>
          <w:rFonts w:cs="Arial"/>
          <w:sz w:val="16"/>
          <w:szCs w:val="16"/>
        </w:rPr>
      </w:pPr>
    </w:p>
    <w:p w:rsidR="2F230361" w:rsidRPr="00060A2B" w:rsidP="00DB1073" w14:paraId="402DAC1D" w14:textId="77777777">
      <w:pPr>
        <w:pBdr>
          <w:left w:val="single" w:sz="4" w:space="1" w:color="auto"/>
        </w:pBdr>
        <w:tabs>
          <w:tab w:val="num" w:pos="720"/>
        </w:tabs>
        <w:rPr>
          <w:rFonts w:cs="Arial"/>
          <w:sz w:val="16"/>
          <w:szCs w:val="16"/>
        </w:rPr>
      </w:pPr>
      <w:r w:rsidRPr="00060A2B">
        <w:rPr>
          <w:rFonts w:cs="Arial"/>
          <w:sz w:val="16"/>
          <w:szCs w:val="16"/>
        </w:rPr>
        <w:t>2.1</w:t>
      </w:r>
      <w:r w:rsidRPr="00060A2B" w:rsidR="00ED3A70">
        <w:rPr>
          <w:rFonts w:cs="Arial"/>
          <w:sz w:val="16"/>
          <w:szCs w:val="16"/>
        </w:rPr>
        <w:t>0</w:t>
      </w:r>
      <w:r w:rsidRPr="00060A2B">
        <w:rPr>
          <w:rFonts w:cs="Arial"/>
          <w:sz w:val="16"/>
          <w:szCs w:val="16"/>
        </w:rPr>
        <w:t>. En relación con los conflictos de interés, (i) presentar ante la junta directiva para su respectiva aprobación, las políticas para su gestión en el proceso de selección y negociación de inversiones y de abstención de operaciones que den lugar a</w:t>
      </w:r>
      <w:r w:rsidRPr="00060A2B" w:rsidR="64E44315">
        <w:rPr>
          <w:rFonts w:cs="Arial"/>
          <w:sz w:val="16"/>
          <w:szCs w:val="16"/>
        </w:rPr>
        <w:t xml:space="preserve"> potenciales</w:t>
      </w:r>
      <w:r w:rsidRPr="00060A2B">
        <w:rPr>
          <w:rFonts w:cs="Arial"/>
          <w:sz w:val="16"/>
          <w:szCs w:val="16"/>
        </w:rPr>
        <w:t xml:space="preserve"> conflictos </w:t>
      </w:r>
      <w:r w:rsidRPr="00060A2B" w:rsidR="00520C61">
        <w:rPr>
          <w:rFonts w:cs="Arial"/>
          <w:sz w:val="16"/>
          <w:szCs w:val="16"/>
        </w:rPr>
        <w:t xml:space="preserve">de interés </w:t>
      </w:r>
      <w:r w:rsidRPr="00060A2B" w:rsidR="6E36B13C">
        <w:rPr>
          <w:rFonts w:cs="Arial"/>
          <w:sz w:val="16"/>
          <w:szCs w:val="16"/>
        </w:rPr>
        <w:t>y (ii) a</w:t>
      </w:r>
      <w:r w:rsidRPr="00060A2B">
        <w:rPr>
          <w:rFonts w:cs="Arial"/>
          <w:sz w:val="16"/>
          <w:szCs w:val="16"/>
        </w:rPr>
        <w:t>nalizar las situaciones relativas a los potenciales conflictos de interés relacionados con el proceso de inversión y su tratamiento, dejando constancia de los temas discutidos.</w:t>
      </w:r>
    </w:p>
    <w:p w:rsidR="43105167" w:rsidRPr="00060A2B" w:rsidP="00DB1073" w14:paraId="3330B186" w14:textId="77777777">
      <w:pPr>
        <w:pBdr>
          <w:left w:val="single" w:sz="4" w:space="1" w:color="auto"/>
        </w:pBdr>
        <w:tabs>
          <w:tab w:val="num" w:pos="720"/>
        </w:tabs>
        <w:rPr>
          <w:rFonts w:cs="Arial"/>
          <w:sz w:val="16"/>
          <w:szCs w:val="16"/>
        </w:rPr>
      </w:pPr>
    </w:p>
    <w:p w:rsidR="00513EBA" w:rsidRPr="00060A2B" w:rsidP="00DB1073" w14:paraId="6E17251D" w14:textId="77777777">
      <w:pPr>
        <w:pBdr>
          <w:left w:val="single" w:sz="4" w:space="1" w:color="auto"/>
        </w:pBdr>
        <w:tabs>
          <w:tab w:val="num" w:pos="720"/>
        </w:tabs>
        <w:rPr>
          <w:rFonts w:cs="Arial"/>
          <w:sz w:val="16"/>
          <w:szCs w:val="16"/>
        </w:rPr>
      </w:pPr>
      <w:r w:rsidRPr="00060A2B">
        <w:rPr>
          <w:rFonts w:cs="Arial"/>
          <w:sz w:val="16"/>
          <w:szCs w:val="16"/>
        </w:rPr>
        <w:t>2.</w:t>
      </w:r>
      <w:r w:rsidRPr="00060A2B" w:rsidR="5C29288D">
        <w:rPr>
          <w:rFonts w:cs="Arial"/>
          <w:sz w:val="16"/>
          <w:szCs w:val="16"/>
        </w:rPr>
        <w:t>1</w:t>
      </w:r>
      <w:r w:rsidRPr="00060A2B" w:rsidR="00ED3A70">
        <w:rPr>
          <w:rFonts w:cs="Arial"/>
          <w:sz w:val="16"/>
          <w:szCs w:val="16"/>
        </w:rPr>
        <w:t>1</w:t>
      </w:r>
      <w:r w:rsidRPr="00060A2B">
        <w:rPr>
          <w:rFonts w:cs="Arial"/>
          <w:sz w:val="16"/>
          <w:szCs w:val="16"/>
        </w:rPr>
        <w:t>. Preparar los análisis y recomendaciones que consideren necesarias, relacionadas con las condiciones que deben cumplir las inversiones y demás operaciones a realizar con los activos para que la junta directiva las tenga en cuenta en la definición de las políticas de inversión.</w:t>
      </w:r>
    </w:p>
    <w:p w:rsidR="00513EBA" w:rsidRPr="00060A2B" w:rsidP="00ED3A70" w14:paraId="08F7B5A9" w14:textId="77777777">
      <w:pPr>
        <w:pBdr>
          <w:left w:val="single" w:sz="4" w:space="1" w:color="auto"/>
        </w:pBdr>
        <w:tabs>
          <w:tab w:val="num" w:pos="720"/>
        </w:tabs>
        <w:rPr>
          <w:rFonts w:cs="Arial"/>
          <w:sz w:val="16"/>
          <w:szCs w:val="16"/>
        </w:rPr>
      </w:pPr>
    </w:p>
    <w:p w:rsidR="00513EBA" w:rsidRPr="00060A2B" w:rsidP="00ED3A70" w14:paraId="2200CC12" w14:textId="77777777">
      <w:pPr>
        <w:pBdr>
          <w:left w:val="single" w:sz="4" w:space="1" w:color="auto"/>
        </w:pBdr>
        <w:tabs>
          <w:tab w:val="num" w:pos="720"/>
        </w:tabs>
        <w:autoSpaceDE w:val="0"/>
        <w:autoSpaceDN w:val="0"/>
        <w:adjustRightInd w:val="0"/>
        <w:rPr>
          <w:rFonts w:cs="Arial"/>
          <w:sz w:val="16"/>
          <w:szCs w:val="16"/>
        </w:rPr>
      </w:pPr>
      <w:r w:rsidRPr="00060A2B">
        <w:rPr>
          <w:rFonts w:cs="Arial"/>
          <w:sz w:val="16"/>
          <w:szCs w:val="16"/>
        </w:rPr>
        <w:t>2.</w:t>
      </w:r>
      <w:r w:rsidRPr="00060A2B" w:rsidR="10B316AD">
        <w:rPr>
          <w:rFonts w:cs="Arial"/>
          <w:sz w:val="16"/>
          <w:szCs w:val="16"/>
        </w:rPr>
        <w:t>1</w:t>
      </w:r>
      <w:r w:rsidRPr="00060A2B" w:rsidR="00ED3A70">
        <w:rPr>
          <w:rFonts w:cs="Arial"/>
          <w:sz w:val="16"/>
          <w:szCs w:val="16"/>
        </w:rPr>
        <w:t>2</w:t>
      </w:r>
      <w:r w:rsidRPr="00060A2B">
        <w:rPr>
          <w:rFonts w:cs="Arial"/>
          <w:sz w:val="16"/>
          <w:szCs w:val="16"/>
        </w:rPr>
        <w:t xml:space="preserve">. </w:t>
      </w:r>
      <w:bookmarkStart w:id="38" w:name="_Hlk70017525"/>
      <w:r w:rsidRPr="00060A2B">
        <w:rPr>
          <w:rFonts w:cs="Arial"/>
          <w:sz w:val="16"/>
          <w:szCs w:val="16"/>
        </w:rPr>
        <w:t>Proponer a la junta directiva el procedimiento para evaluar el desempeño en la gestión de las inversiones</w:t>
      </w:r>
      <w:r w:rsidRPr="00060A2B" w:rsidR="3B570DCF">
        <w:rPr>
          <w:rFonts w:cs="Arial"/>
          <w:sz w:val="16"/>
          <w:szCs w:val="16"/>
        </w:rPr>
        <w:t>.</w:t>
      </w:r>
      <w:bookmarkEnd w:id="38"/>
    </w:p>
    <w:p w:rsidR="0659F537" w:rsidRPr="00060A2B" w:rsidP="00ED3A70" w14:paraId="13A18072" w14:textId="77777777">
      <w:pPr>
        <w:pBdr>
          <w:left w:val="single" w:sz="4" w:space="1" w:color="auto"/>
        </w:pBdr>
        <w:tabs>
          <w:tab w:val="num" w:pos="720"/>
        </w:tabs>
        <w:rPr>
          <w:szCs w:val="18"/>
        </w:rPr>
      </w:pPr>
    </w:p>
    <w:p w:rsidR="5DA06DC6" w:rsidRPr="002A5D10" w:rsidP="00ED3A70" w14:paraId="35C947D7" w14:textId="4C181D70">
      <w:pPr>
        <w:pStyle w:val="NormalWeb"/>
        <w:pBdr>
          <w:left w:val="single" w:sz="4" w:space="1" w:color="auto"/>
        </w:pBdr>
        <w:spacing w:before="0" w:beforeAutospacing="0" w:after="0" w:afterAutospacing="0"/>
        <w:jc w:val="both"/>
        <w:rPr>
          <w:rFonts w:ascii="Arial" w:hAnsi="Arial" w:cs="Arial"/>
          <w:color w:val="auto"/>
          <w:sz w:val="16"/>
          <w:szCs w:val="16"/>
        </w:rPr>
      </w:pPr>
      <w:r w:rsidRPr="00060A2B">
        <w:rPr>
          <w:rFonts w:ascii="Arial" w:hAnsi="Arial" w:cs="Arial"/>
          <w:color w:val="auto"/>
          <w:sz w:val="16"/>
          <w:szCs w:val="16"/>
        </w:rPr>
        <w:t>2.</w:t>
      </w:r>
      <w:r w:rsidRPr="00060A2B" w:rsidR="00ED3A70">
        <w:rPr>
          <w:rFonts w:ascii="Arial" w:hAnsi="Arial" w:cs="Arial"/>
          <w:color w:val="auto"/>
          <w:sz w:val="16"/>
          <w:szCs w:val="16"/>
        </w:rPr>
        <w:t>13</w:t>
      </w:r>
      <w:r w:rsidRPr="00060A2B">
        <w:rPr>
          <w:rFonts w:ascii="Arial" w:hAnsi="Arial" w:cs="Arial"/>
          <w:color w:val="auto"/>
          <w:sz w:val="16"/>
          <w:szCs w:val="16"/>
        </w:rPr>
        <w:t xml:space="preserve">. </w:t>
      </w:r>
      <w:bookmarkStart w:id="39" w:name="_Hlk70017541"/>
      <w:r w:rsidRPr="00060A2B" w:rsidR="34687F9A">
        <w:rPr>
          <w:rFonts w:ascii="Arial" w:hAnsi="Arial" w:cs="Arial"/>
          <w:color w:val="auto"/>
          <w:sz w:val="16"/>
          <w:szCs w:val="16"/>
        </w:rPr>
        <w:t>D</w:t>
      </w:r>
      <w:r w:rsidRPr="00060A2B">
        <w:rPr>
          <w:rFonts w:ascii="Arial" w:hAnsi="Arial" w:cs="Arial"/>
          <w:color w:val="auto"/>
          <w:sz w:val="16"/>
          <w:szCs w:val="16"/>
        </w:rPr>
        <w:t xml:space="preserve">efinir las clases de activos a invertir, establecer las condiciones que deben cumplir los títulos y/o valores y los emisores de las inversiones u operaciones que se pueden realizar, analizar, evaluar y decidir sobre la administración de los riesgos inherentes a la actividad de inversión, tales como riesgo de mercado, de liquidez, de contraparte, de crédito, de lavado de </w:t>
      </w:r>
      <w:r w:rsidRPr="00060A2B" w:rsidR="001E410C">
        <w:rPr>
          <w:rFonts w:ascii="Arial" w:hAnsi="Arial" w:cs="Arial"/>
          <w:color w:val="auto"/>
          <w:sz w:val="16"/>
          <w:szCs w:val="16"/>
        </w:rPr>
        <w:t>activos, y</w:t>
      </w:r>
      <w:r w:rsidRPr="00060A2B">
        <w:rPr>
          <w:rFonts w:ascii="Arial" w:hAnsi="Arial" w:cs="Arial"/>
          <w:color w:val="auto"/>
          <w:sz w:val="16"/>
          <w:szCs w:val="16"/>
        </w:rPr>
        <w:t xml:space="preserve"> </w:t>
      </w:r>
      <w:r w:rsidRPr="00060A2B" w:rsidR="00045FBF">
        <w:rPr>
          <w:rFonts w:ascii="Arial" w:hAnsi="Arial" w:cs="Arial"/>
          <w:color w:val="auto"/>
          <w:sz w:val="16"/>
          <w:szCs w:val="16"/>
        </w:rPr>
        <w:t>operacional</w:t>
      </w:r>
      <w:r w:rsidRPr="002A5D10">
        <w:rPr>
          <w:rFonts w:ascii="Arial" w:hAnsi="Arial" w:cs="Arial"/>
          <w:color w:val="auto"/>
          <w:sz w:val="16"/>
          <w:szCs w:val="16"/>
        </w:rPr>
        <w:t>.</w:t>
      </w:r>
      <w:bookmarkEnd w:id="39"/>
    </w:p>
    <w:p w:rsidR="0044398D" w:rsidRPr="00060A2B" w:rsidP="00ED3A70" w14:paraId="05D5E650" w14:textId="77777777">
      <w:pPr>
        <w:pStyle w:val="NormalWeb"/>
        <w:pBdr>
          <w:left w:val="single" w:sz="4" w:space="1" w:color="auto"/>
        </w:pBdr>
        <w:spacing w:before="0" w:beforeAutospacing="0" w:after="0" w:afterAutospacing="0"/>
        <w:jc w:val="both"/>
        <w:rPr>
          <w:rFonts w:ascii="Arial" w:hAnsi="Arial" w:cs="Arial"/>
          <w:color w:val="auto"/>
          <w:sz w:val="16"/>
          <w:szCs w:val="16"/>
        </w:rPr>
      </w:pPr>
    </w:p>
    <w:p w:rsidR="0044398D" w:rsidRPr="00060A2B" w:rsidP="00ED3A70" w14:paraId="79F1516B" w14:textId="69DF45B6">
      <w:pPr>
        <w:pStyle w:val="NormalWeb"/>
        <w:pBdr>
          <w:left w:val="single" w:sz="4" w:space="1" w:color="auto"/>
        </w:pBdr>
        <w:spacing w:before="0" w:beforeAutospacing="0" w:after="0" w:afterAutospacing="0"/>
        <w:jc w:val="both"/>
        <w:rPr>
          <w:rFonts w:cs="Arial"/>
          <w:sz w:val="16"/>
          <w:szCs w:val="16"/>
        </w:rPr>
      </w:pPr>
      <w:r w:rsidRPr="00060A2B">
        <w:rPr>
          <w:rFonts w:ascii="Arial" w:hAnsi="Arial" w:cs="Arial"/>
          <w:color w:val="auto"/>
          <w:sz w:val="16"/>
          <w:szCs w:val="16"/>
        </w:rPr>
        <w:t>2.</w:t>
      </w:r>
      <w:r w:rsidRPr="00060A2B" w:rsidR="00ED3A70">
        <w:rPr>
          <w:rFonts w:ascii="Arial" w:hAnsi="Arial" w:cs="Arial"/>
          <w:color w:val="auto"/>
          <w:sz w:val="16"/>
          <w:szCs w:val="16"/>
        </w:rPr>
        <w:t>14</w:t>
      </w:r>
      <w:r w:rsidRPr="00060A2B">
        <w:rPr>
          <w:rFonts w:ascii="Arial" w:hAnsi="Arial" w:cs="Arial"/>
          <w:color w:val="auto"/>
          <w:sz w:val="16"/>
          <w:szCs w:val="16"/>
        </w:rPr>
        <w:t xml:space="preserve"> </w:t>
      </w:r>
      <w:bookmarkStart w:id="40" w:name="_Hlk70017560"/>
      <w:r w:rsidRPr="00060A2B">
        <w:rPr>
          <w:rFonts w:ascii="Arial" w:hAnsi="Arial" w:cs="Arial"/>
          <w:color w:val="auto"/>
          <w:sz w:val="16"/>
          <w:szCs w:val="16"/>
        </w:rPr>
        <w:t xml:space="preserve">Presentar a la junta directiva reportes en la periodicidad establecida por la política inversión, en relación con los asuntos y riesgos ASG y climáticos. Esta función debe ser asignada únicamente en </w:t>
      </w:r>
      <w:r w:rsidR="001E410C">
        <w:rPr>
          <w:rFonts w:ascii="Arial" w:hAnsi="Arial" w:cs="Arial"/>
          <w:color w:val="auto"/>
          <w:sz w:val="16"/>
          <w:szCs w:val="16"/>
        </w:rPr>
        <w:t xml:space="preserve">el </w:t>
      </w:r>
      <w:r w:rsidRPr="00060A2B">
        <w:rPr>
          <w:rFonts w:ascii="Arial" w:hAnsi="Arial" w:cs="Arial"/>
          <w:color w:val="auto"/>
          <w:sz w:val="16"/>
          <w:szCs w:val="16"/>
        </w:rPr>
        <w:t>caso que la entidad aseguradora decida incorporar los mencionados análisis en el marco de su política de inversión.</w:t>
      </w:r>
      <w:bookmarkEnd w:id="40"/>
    </w:p>
    <w:p w:rsidR="51D91BE1" w:rsidRPr="00060A2B" w:rsidP="00ED3A70" w14:paraId="39CD6537" w14:textId="77777777">
      <w:pPr>
        <w:pBdr>
          <w:left w:val="single" w:sz="4" w:space="1" w:color="auto"/>
        </w:pBdr>
        <w:tabs>
          <w:tab w:val="num" w:pos="720"/>
        </w:tabs>
        <w:rPr>
          <w:rFonts w:cs="Arial"/>
          <w:sz w:val="16"/>
          <w:szCs w:val="16"/>
        </w:rPr>
      </w:pPr>
    </w:p>
    <w:p w:rsidR="0659F537" w:rsidRPr="00060A2B" w:rsidP="00ED3A70" w14:paraId="17B0C5D3" w14:textId="77777777">
      <w:pPr>
        <w:pBdr>
          <w:left w:val="single" w:sz="4" w:space="1" w:color="auto"/>
        </w:pBdr>
        <w:rPr>
          <w:caps/>
          <w:szCs w:val="18"/>
        </w:rPr>
      </w:pPr>
      <w:r w:rsidRPr="00060A2B">
        <w:rPr>
          <w:rFonts w:cs="Arial"/>
          <w:sz w:val="16"/>
          <w:szCs w:val="16"/>
        </w:rPr>
        <w:t>2.</w:t>
      </w:r>
      <w:r w:rsidRPr="00060A2B" w:rsidR="00ED3A70">
        <w:rPr>
          <w:rFonts w:cs="Arial"/>
          <w:sz w:val="16"/>
          <w:szCs w:val="16"/>
        </w:rPr>
        <w:t>15</w:t>
      </w:r>
      <w:r w:rsidRPr="00060A2B">
        <w:rPr>
          <w:rFonts w:cs="Arial"/>
          <w:sz w:val="16"/>
          <w:szCs w:val="16"/>
        </w:rPr>
        <w:t xml:space="preserve">. </w:t>
      </w:r>
      <w:bookmarkStart w:id="41" w:name="_Hlk70017574"/>
      <w:r w:rsidRPr="00060A2B">
        <w:rPr>
          <w:rFonts w:cs="Arial"/>
          <w:sz w:val="16"/>
          <w:szCs w:val="16"/>
        </w:rPr>
        <w:t xml:space="preserve">Las demás que le asigne la junta directiva de la </w:t>
      </w:r>
      <w:r w:rsidRPr="00060A2B" w:rsidR="50EEF23E">
        <w:rPr>
          <w:rFonts w:cs="Arial"/>
          <w:sz w:val="16"/>
          <w:szCs w:val="16"/>
        </w:rPr>
        <w:t>entidad aseguradora</w:t>
      </w:r>
      <w:r w:rsidRPr="00060A2B" w:rsidR="3B570DCF">
        <w:rPr>
          <w:rFonts w:cs="Arial"/>
          <w:sz w:val="16"/>
          <w:szCs w:val="16"/>
        </w:rPr>
        <w:t>.</w:t>
      </w:r>
      <w:bookmarkEnd w:id="41"/>
    </w:p>
    <w:p w:rsidR="0659F537" w:rsidRPr="00060A2B" w:rsidP="00ED3A70" w14:paraId="73A1F722" w14:textId="77777777">
      <w:pPr>
        <w:pBdr>
          <w:left w:val="single" w:sz="4" w:space="1" w:color="auto"/>
        </w:pBdr>
        <w:rPr>
          <w:szCs w:val="18"/>
        </w:rPr>
      </w:pPr>
      <w:bookmarkStart w:id="42" w:name="_Toc267211382"/>
    </w:p>
    <w:p w:rsidR="00BE4A69" w:rsidRPr="00060A2B" w:rsidP="00ED3A70" w14:paraId="2792B822" w14:textId="77777777">
      <w:pPr>
        <w:pStyle w:val="Heading1"/>
        <w:pBdr>
          <w:left w:val="single" w:sz="4" w:space="1" w:color="auto"/>
        </w:pBdr>
        <w:spacing w:before="0" w:after="0"/>
        <w:rPr>
          <w:caps/>
        </w:rPr>
      </w:pPr>
      <w:r w:rsidRPr="00060A2B">
        <w:rPr>
          <w:caps/>
        </w:rPr>
        <w:t>3</w:t>
      </w:r>
      <w:r w:rsidRPr="00060A2B" w:rsidR="00BC0132">
        <w:rPr>
          <w:caps/>
        </w:rPr>
        <w:t>.</w:t>
      </w:r>
      <w:r w:rsidRPr="00060A2B">
        <w:rPr>
          <w:caps/>
        </w:rPr>
        <w:t xml:space="preserve"> </w:t>
      </w:r>
      <w:r w:rsidRPr="00060A2B" w:rsidR="00BC0132">
        <w:t>Funciones de la auditoría interna</w:t>
      </w:r>
    </w:p>
    <w:p w:rsidR="00347035" w:rsidRPr="002A5D10" w:rsidP="00ED3A70" w14:paraId="42AEAFAB" w14:textId="77777777">
      <w:pPr>
        <w:pBdr>
          <w:left w:val="single" w:sz="4" w:space="1" w:color="auto"/>
        </w:pBdr>
      </w:pPr>
    </w:p>
    <w:p w:rsidR="3AE9ACEC" w:rsidRPr="00060A2B" w:rsidP="00DB1073" w14:paraId="4295F941" w14:textId="77777777">
      <w:pPr>
        <w:pBdr>
          <w:left w:val="single" w:sz="4" w:space="1" w:color="auto"/>
        </w:pBdr>
        <w:rPr>
          <w:rFonts w:cs="Arial"/>
          <w:sz w:val="16"/>
          <w:szCs w:val="16"/>
        </w:rPr>
      </w:pPr>
      <w:r w:rsidRPr="002A5D10">
        <w:rPr>
          <w:rFonts w:cs="Arial"/>
          <w:sz w:val="16"/>
          <w:szCs w:val="16"/>
        </w:rPr>
        <w:t>Serán funciones de la auditor</w:t>
      </w:r>
      <w:r w:rsidRPr="00060A2B" w:rsidR="00023B92">
        <w:rPr>
          <w:rFonts w:cs="Arial"/>
          <w:sz w:val="16"/>
          <w:szCs w:val="16"/>
        </w:rPr>
        <w:t>í</w:t>
      </w:r>
      <w:r w:rsidRPr="00060A2B">
        <w:rPr>
          <w:rFonts w:cs="Arial"/>
          <w:sz w:val="16"/>
          <w:szCs w:val="16"/>
        </w:rPr>
        <w:t>a interna de la entidad aseguradora, en relación con la política de inversión, las siguientes:</w:t>
      </w:r>
    </w:p>
    <w:p w:rsidR="00347035" w:rsidRPr="00060A2B" w:rsidP="00DB1073" w14:paraId="0E880D0E" w14:textId="77777777">
      <w:pPr>
        <w:pBdr>
          <w:left w:val="single" w:sz="4" w:space="1" w:color="auto"/>
        </w:pBdr>
        <w:rPr>
          <w:rFonts w:cs="Arial"/>
          <w:sz w:val="16"/>
          <w:szCs w:val="16"/>
        </w:rPr>
      </w:pPr>
    </w:p>
    <w:p w:rsidR="00BE4A69" w:rsidRPr="00060A2B" w:rsidP="00DB1073" w14:paraId="14698EC8" w14:textId="1508AE63">
      <w:pPr>
        <w:pBdr>
          <w:left w:val="single" w:sz="4" w:space="1" w:color="auto"/>
        </w:pBdr>
        <w:rPr>
          <w:rFonts w:cs="Arial"/>
          <w:sz w:val="16"/>
          <w:szCs w:val="16"/>
        </w:rPr>
      </w:pPr>
      <w:r w:rsidRPr="00060A2B">
        <w:rPr>
          <w:rFonts w:cs="Arial"/>
          <w:sz w:val="16"/>
          <w:szCs w:val="16"/>
        </w:rPr>
        <w:t>3</w:t>
      </w:r>
      <w:r w:rsidRPr="00060A2B" w:rsidR="3AE9ACEC">
        <w:rPr>
          <w:rFonts w:cs="Arial"/>
          <w:sz w:val="16"/>
          <w:szCs w:val="16"/>
        </w:rPr>
        <w:t>.1</w:t>
      </w:r>
      <w:r w:rsidRPr="00060A2B" w:rsidR="262F7ACC">
        <w:rPr>
          <w:rFonts w:cs="Arial"/>
          <w:sz w:val="16"/>
          <w:szCs w:val="16"/>
        </w:rPr>
        <w:t xml:space="preserve"> </w:t>
      </w:r>
      <w:r w:rsidRPr="00060A2B" w:rsidR="00891F77">
        <w:rPr>
          <w:rFonts w:cs="Arial"/>
          <w:sz w:val="16"/>
          <w:szCs w:val="16"/>
        </w:rPr>
        <w:t>Evaluar el cumplimiento de la política de inversión al menos una vez al año</w:t>
      </w:r>
      <w:r w:rsidRPr="00060A2B" w:rsidR="00DD16B9">
        <w:rPr>
          <w:rFonts w:cs="Arial"/>
          <w:sz w:val="16"/>
          <w:szCs w:val="16"/>
        </w:rPr>
        <w:t>,</w:t>
      </w:r>
      <w:r w:rsidRPr="00060A2B" w:rsidR="00891F77">
        <w:rPr>
          <w:rFonts w:cs="Arial"/>
          <w:sz w:val="16"/>
          <w:szCs w:val="16"/>
        </w:rPr>
        <w:t xml:space="preserve"> o cuando</w:t>
      </w:r>
      <w:r w:rsidRPr="00060A2B">
        <w:rPr>
          <w:rFonts w:cs="Arial"/>
          <w:sz w:val="16"/>
          <w:szCs w:val="16"/>
        </w:rPr>
        <w:t xml:space="preserve"> se presenten situaciones que requieran su revisión</w:t>
      </w:r>
      <w:r w:rsidRPr="00060A2B" w:rsidR="009D6F96">
        <w:rPr>
          <w:rFonts w:cs="Arial"/>
          <w:sz w:val="16"/>
          <w:szCs w:val="16"/>
        </w:rPr>
        <w:t>,</w:t>
      </w:r>
      <w:r w:rsidRPr="00060A2B">
        <w:rPr>
          <w:rFonts w:cs="Arial"/>
          <w:sz w:val="16"/>
          <w:szCs w:val="16"/>
        </w:rPr>
        <w:t xml:space="preserve"> e informar a</w:t>
      </w:r>
      <w:r w:rsidRPr="00060A2B" w:rsidR="00FA5F76">
        <w:rPr>
          <w:rFonts w:cs="Arial"/>
          <w:sz w:val="16"/>
          <w:szCs w:val="16"/>
        </w:rPr>
        <w:t xml:space="preserve">l </w:t>
      </w:r>
      <w:r w:rsidRPr="00060A2B">
        <w:rPr>
          <w:rFonts w:cs="Arial"/>
          <w:sz w:val="16"/>
          <w:szCs w:val="16"/>
        </w:rPr>
        <w:t xml:space="preserve">representante legal, al comité de auditoría y a la </w:t>
      </w:r>
      <w:r w:rsidRPr="00060A2B" w:rsidR="00884E64">
        <w:rPr>
          <w:rFonts w:cs="Arial"/>
          <w:sz w:val="16"/>
          <w:szCs w:val="16"/>
        </w:rPr>
        <w:t>junta directiva</w:t>
      </w:r>
      <w:r w:rsidRPr="00060A2B">
        <w:rPr>
          <w:rFonts w:cs="Arial"/>
          <w:sz w:val="16"/>
          <w:szCs w:val="16"/>
        </w:rPr>
        <w:t xml:space="preserve"> los resultados de dicha evaluación</w:t>
      </w:r>
      <w:r w:rsidRPr="00060A2B" w:rsidR="0034328F">
        <w:rPr>
          <w:rFonts w:cs="Arial"/>
          <w:sz w:val="16"/>
          <w:szCs w:val="16"/>
        </w:rPr>
        <w:t>.</w:t>
      </w:r>
    </w:p>
    <w:p w:rsidR="00BE4A69" w:rsidRPr="00060A2B" w:rsidP="00DB1073" w14:paraId="30974714" w14:textId="77777777">
      <w:pPr>
        <w:pStyle w:val="CommentText"/>
        <w:pBdr>
          <w:left w:val="single" w:sz="4" w:space="1" w:color="auto"/>
        </w:pBdr>
        <w:rPr>
          <w:rFonts w:cs="Arial"/>
          <w:sz w:val="16"/>
          <w:szCs w:val="16"/>
        </w:rPr>
      </w:pPr>
    </w:p>
    <w:p w:rsidR="009D6F96" w:rsidRPr="00060A2B" w:rsidP="007F64D6" w14:paraId="4BC340CE" w14:textId="77777777">
      <w:pPr>
        <w:pStyle w:val="CommentText"/>
        <w:pBdr>
          <w:left w:val="single" w:sz="4" w:space="1" w:color="auto"/>
        </w:pBdr>
        <w:rPr>
          <w:rFonts w:cs="Arial"/>
          <w:sz w:val="16"/>
          <w:szCs w:val="16"/>
          <w:lang w:val="es-CO" w:eastAsia="es-CO"/>
        </w:rPr>
      </w:pPr>
      <w:r w:rsidRPr="00060A2B">
        <w:rPr>
          <w:rFonts w:cs="Arial"/>
          <w:sz w:val="16"/>
          <w:szCs w:val="16"/>
          <w:lang w:val="es-CO" w:eastAsia="es-CO"/>
        </w:rPr>
        <w:t xml:space="preserve">3.2 </w:t>
      </w:r>
      <w:r w:rsidRPr="00060A2B" w:rsidR="00BE4A69">
        <w:rPr>
          <w:rFonts w:cs="Arial"/>
          <w:sz w:val="16"/>
          <w:szCs w:val="16"/>
          <w:lang w:val="es-CO" w:eastAsia="es-CO"/>
        </w:rPr>
        <w:t xml:space="preserve">Realizar el seguimiento a las recomendaciones o fallas identificadas en la </w:t>
      </w:r>
      <w:r w:rsidRPr="00060A2B" w:rsidR="00347035">
        <w:rPr>
          <w:rFonts w:cs="Arial"/>
          <w:sz w:val="16"/>
          <w:szCs w:val="16"/>
          <w:lang w:val="es-CO" w:eastAsia="es-CO"/>
        </w:rPr>
        <w:t xml:space="preserve">política de inversión </w:t>
      </w:r>
      <w:r w:rsidRPr="00060A2B" w:rsidR="00BE4A69">
        <w:rPr>
          <w:rFonts w:cs="Arial"/>
          <w:sz w:val="16"/>
          <w:szCs w:val="16"/>
          <w:lang w:val="es-CO" w:eastAsia="es-CO"/>
        </w:rPr>
        <w:t>que resulten de la propia auditoría interna, así como de los planes de acción</w:t>
      </w:r>
      <w:r w:rsidRPr="00060A2B" w:rsidR="00DB7F82">
        <w:rPr>
          <w:rFonts w:cs="Arial"/>
          <w:sz w:val="16"/>
          <w:szCs w:val="16"/>
          <w:lang w:val="es-CO" w:eastAsia="es-CO"/>
        </w:rPr>
        <w:t xml:space="preserve"> y</w:t>
      </w:r>
      <w:r w:rsidRPr="00060A2B" w:rsidR="00CA77BD">
        <w:rPr>
          <w:rFonts w:cs="Arial"/>
          <w:sz w:val="16"/>
          <w:szCs w:val="16"/>
          <w:lang w:val="es-CO" w:eastAsia="es-CO"/>
        </w:rPr>
        <w:t xml:space="preserve"> </w:t>
      </w:r>
      <w:r w:rsidRPr="00060A2B" w:rsidR="00BE4A69">
        <w:rPr>
          <w:rFonts w:cs="Arial"/>
          <w:sz w:val="16"/>
          <w:szCs w:val="16"/>
          <w:lang w:val="es-CO" w:eastAsia="es-CO"/>
        </w:rPr>
        <w:t>medidas adoptadas por la entidad</w:t>
      </w:r>
      <w:r w:rsidRPr="00060A2B" w:rsidR="00A41155">
        <w:rPr>
          <w:rFonts w:cs="Arial"/>
          <w:sz w:val="16"/>
          <w:szCs w:val="16"/>
          <w:lang w:val="es-CO" w:eastAsia="es-CO"/>
        </w:rPr>
        <w:t>.</w:t>
      </w:r>
      <w:r w:rsidRPr="00060A2B" w:rsidR="00B42A33">
        <w:rPr>
          <w:rFonts w:cs="Arial"/>
          <w:sz w:val="16"/>
          <w:szCs w:val="16"/>
          <w:lang w:val="es-CO" w:eastAsia="es-CO"/>
        </w:rPr>
        <w:t xml:space="preserve"> </w:t>
      </w:r>
    </w:p>
    <w:p w:rsidR="009D6F96" w:rsidRPr="00060A2B" w:rsidP="007F64D6" w14:paraId="59CED78E" w14:textId="77777777">
      <w:pPr>
        <w:pStyle w:val="CommentText"/>
        <w:pBdr>
          <w:left w:val="single" w:sz="4" w:space="1" w:color="auto"/>
        </w:pBdr>
        <w:rPr>
          <w:rFonts w:cs="Arial"/>
          <w:sz w:val="16"/>
          <w:szCs w:val="16"/>
          <w:lang w:val="es-CO" w:eastAsia="es-CO"/>
        </w:rPr>
      </w:pPr>
    </w:p>
    <w:p w:rsidR="00D676DD" w:rsidRPr="00060A2B" w:rsidP="007F64D6" w14:paraId="368E9B7D" w14:textId="7CD52B6D">
      <w:pPr>
        <w:pStyle w:val="CommentText"/>
        <w:pBdr>
          <w:left w:val="single" w:sz="4" w:space="1" w:color="auto"/>
        </w:pBdr>
        <w:rPr>
          <w:rFonts w:cs="Arial"/>
          <w:sz w:val="16"/>
          <w:szCs w:val="16"/>
          <w:lang w:val="es-CO" w:eastAsia="es-CO"/>
        </w:rPr>
      </w:pPr>
      <w:r w:rsidRPr="00060A2B">
        <w:rPr>
          <w:rFonts w:cs="Arial"/>
          <w:sz w:val="16"/>
          <w:szCs w:val="16"/>
          <w:lang w:val="es-CO" w:eastAsia="es-CO"/>
        </w:rPr>
        <w:t xml:space="preserve">3.3. </w:t>
      </w:r>
      <w:r w:rsidRPr="00060A2B" w:rsidR="006D625B">
        <w:rPr>
          <w:rFonts w:cs="Arial"/>
          <w:sz w:val="16"/>
          <w:szCs w:val="16"/>
          <w:lang w:val="es-CO" w:eastAsia="es-CO"/>
        </w:rPr>
        <w:t>Llevar a cabo</w:t>
      </w:r>
      <w:r w:rsidRPr="00060A2B" w:rsidR="007F64D6">
        <w:rPr>
          <w:rFonts w:cs="Arial"/>
          <w:sz w:val="16"/>
          <w:szCs w:val="16"/>
          <w:lang w:val="es-CO" w:eastAsia="es-CO"/>
        </w:rPr>
        <w:t xml:space="preserve"> el seguimiento </w:t>
      </w:r>
      <w:bookmarkEnd w:id="42"/>
      <w:r w:rsidRPr="00060A2B" w:rsidR="00792701">
        <w:rPr>
          <w:rFonts w:cs="Arial"/>
          <w:sz w:val="16"/>
          <w:szCs w:val="16"/>
          <w:lang w:val="es-CO" w:eastAsia="es-CO"/>
        </w:rPr>
        <w:t>a</w:t>
      </w:r>
      <w:r w:rsidRPr="00060A2B" w:rsidR="006D625B">
        <w:rPr>
          <w:rFonts w:cs="Arial"/>
          <w:sz w:val="16"/>
          <w:szCs w:val="16"/>
          <w:lang w:val="es-CO" w:eastAsia="es-CO"/>
        </w:rPr>
        <w:t xml:space="preserve">l cumplimiento de </w:t>
      </w:r>
      <w:r w:rsidRPr="00060A2B" w:rsidR="00792701">
        <w:rPr>
          <w:rFonts w:cs="Arial"/>
          <w:sz w:val="16"/>
          <w:szCs w:val="16"/>
          <w:lang w:val="es-CO" w:eastAsia="es-CO"/>
        </w:rPr>
        <w:t xml:space="preserve">las </w:t>
      </w:r>
      <w:r w:rsidRPr="00060A2B" w:rsidR="00010D10">
        <w:rPr>
          <w:rFonts w:cs="Arial"/>
          <w:sz w:val="16"/>
          <w:szCs w:val="16"/>
          <w:lang w:val="es-CO" w:eastAsia="es-CO"/>
        </w:rPr>
        <w:t>órdenes</w:t>
      </w:r>
      <w:r w:rsidRPr="00060A2B" w:rsidR="00792701">
        <w:rPr>
          <w:rFonts w:cs="Arial"/>
          <w:sz w:val="16"/>
          <w:szCs w:val="16"/>
          <w:lang w:val="es-CO" w:eastAsia="es-CO"/>
        </w:rPr>
        <w:t xml:space="preserve"> que le imparta la SFC.</w:t>
      </w:r>
    </w:p>
    <w:p w:rsidR="00EA049F" w:rsidRPr="00060A2B" w:rsidP="007F64D6" w14:paraId="17EFE05B" w14:textId="77777777">
      <w:pPr>
        <w:pStyle w:val="CommentText"/>
        <w:pBdr>
          <w:left w:val="single" w:sz="4" w:space="1" w:color="auto"/>
        </w:pBdr>
        <w:rPr>
          <w:sz w:val="16"/>
          <w:szCs w:val="16"/>
        </w:rPr>
      </w:pPr>
    </w:p>
    <w:p w:rsidR="00EA049F" w:rsidRPr="00060A2B" w:rsidP="00CC2130" w14:paraId="687EC3A5" w14:textId="102CCEF2">
      <w:pPr>
        <w:pBdr>
          <w:left w:val="single" w:sz="4" w:space="1" w:color="auto"/>
        </w:pBdr>
        <w:tabs>
          <w:tab w:val="num" w:pos="720"/>
        </w:tabs>
        <w:autoSpaceDE w:val="0"/>
        <w:autoSpaceDN w:val="0"/>
        <w:adjustRightInd w:val="0"/>
        <w:rPr>
          <w:rFonts w:cs="Arial"/>
          <w:sz w:val="16"/>
          <w:szCs w:val="16"/>
        </w:rPr>
      </w:pPr>
      <w:r w:rsidRPr="00060A2B">
        <w:rPr>
          <w:rFonts w:cs="Arial"/>
          <w:sz w:val="16"/>
          <w:szCs w:val="16"/>
        </w:rPr>
        <w:t>3</w:t>
      </w:r>
      <w:r w:rsidRPr="00060A2B">
        <w:rPr>
          <w:rFonts w:cs="Arial"/>
          <w:sz w:val="16"/>
          <w:szCs w:val="16"/>
        </w:rPr>
        <w:t>.</w:t>
      </w:r>
      <w:r w:rsidR="00CE5BF8">
        <w:rPr>
          <w:rFonts w:cs="Arial"/>
          <w:sz w:val="16"/>
          <w:szCs w:val="16"/>
        </w:rPr>
        <w:t>4</w:t>
      </w:r>
      <w:r w:rsidRPr="00060A2B">
        <w:rPr>
          <w:rFonts w:cs="Arial"/>
          <w:sz w:val="16"/>
          <w:szCs w:val="16"/>
        </w:rPr>
        <w:t xml:space="preserve"> </w:t>
      </w:r>
      <w:r w:rsidRPr="00060A2B">
        <w:rPr>
          <w:rFonts w:cs="Arial"/>
          <w:sz w:val="16"/>
          <w:szCs w:val="16"/>
        </w:rPr>
        <w:t xml:space="preserve">Efectuar control y </w:t>
      </w:r>
      <w:r w:rsidRPr="00060A2B">
        <w:rPr>
          <w:rFonts w:cs="Arial"/>
          <w:sz w:val="16"/>
          <w:szCs w:val="16"/>
        </w:rPr>
        <w:t>seguimiento al cumplimiento de la política de inversión</w:t>
      </w:r>
      <w:r w:rsidRPr="00060A2B">
        <w:rPr>
          <w:rFonts w:cs="Arial"/>
          <w:sz w:val="16"/>
          <w:szCs w:val="16"/>
        </w:rPr>
        <w:t xml:space="preserve"> y presentar un informe </w:t>
      </w:r>
      <w:r w:rsidRPr="00060A2B" w:rsidR="00ED3A70">
        <w:rPr>
          <w:rFonts w:cs="Arial"/>
          <w:sz w:val="16"/>
          <w:szCs w:val="16"/>
        </w:rPr>
        <w:t>semestral</w:t>
      </w:r>
      <w:r w:rsidRPr="00060A2B">
        <w:rPr>
          <w:rFonts w:cs="Arial"/>
          <w:sz w:val="16"/>
          <w:szCs w:val="16"/>
        </w:rPr>
        <w:t xml:space="preserve"> a la junta directiva sobre el particular</w:t>
      </w:r>
      <w:r w:rsidRPr="00060A2B" w:rsidR="00E34EE7">
        <w:rPr>
          <w:rFonts w:cs="Arial"/>
          <w:sz w:val="16"/>
          <w:szCs w:val="16"/>
        </w:rPr>
        <w:t>,</w:t>
      </w:r>
      <w:r w:rsidRPr="00060A2B" w:rsidR="00ED3A70">
        <w:rPr>
          <w:rFonts w:cs="Arial"/>
          <w:sz w:val="16"/>
          <w:szCs w:val="16"/>
        </w:rPr>
        <w:t xml:space="preserve"> salvo que ocurra una situación que justifique un reporte adicional.</w:t>
      </w:r>
    </w:p>
    <w:sectPr w:rsidSect="00222BFB">
      <w:headerReference w:type="even" r:id="rId26"/>
      <w:headerReference w:type="default" r:id="rId27"/>
      <w:footerReference w:type="even" r:id="rId28"/>
      <w:footerReference w:type="default" r:id="rId29"/>
      <w:headerReference w:type="first" r:id="rId30"/>
      <w:footerReference w:type="first" r:id="rId31"/>
      <w:type w:val="nextPage"/>
      <w:pgSz w:w="12242" w:h="20163" w:code="120"/>
      <w:pgMar w:top="1418" w:right="1469" w:bottom="1418" w:left="1701" w:header="740" w:footer="1134" w:gutter="0"/>
      <w:pgNumType w:start="6"/>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altName w:val="Arial"/>
    <w:charset w:val="00"/>
    <w:family w:val="auto"/>
    <w:pitch w:val="variable"/>
    <w:sig w:usb0="E3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21B" w:rsidRPr="00F0227F" w:rsidP="000C531B" w14:paraId="2FDCB1CE" w14:textId="77777777">
    <w:pPr>
      <w:pStyle w:val="Footer"/>
      <w:tabs>
        <w:tab w:val="clear" w:pos="8838"/>
        <w:tab w:val="right" w:pos="9072"/>
      </w:tabs>
      <w:rPr>
        <w:b/>
        <w:lang w:val="pt-BR"/>
      </w:rPr>
    </w:pPr>
    <w:r w:rsidRPr="00F0227F">
      <w:rPr>
        <w:b/>
        <w:lang w:val="pt-BR"/>
      </w:rPr>
      <w:t xml:space="preserve">PARTE II </w:t>
    </w:r>
    <w:r>
      <w:rPr>
        <w:b/>
        <w:lang w:val="pt-BR"/>
      </w:rPr>
      <w:t>–</w:t>
    </w:r>
    <w:r w:rsidRPr="00F0227F">
      <w:rPr>
        <w:b/>
        <w:lang w:val="pt-BR"/>
      </w:rPr>
      <w:t xml:space="preserve"> TÍTULO III </w:t>
    </w:r>
    <w:r>
      <w:rPr>
        <w:b/>
        <w:lang w:val="pt-BR"/>
      </w:rPr>
      <w:t>–</w:t>
    </w:r>
    <w:r w:rsidRPr="00F0227F">
      <w:rPr>
        <w:b/>
        <w:lang w:val="pt-BR"/>
      </w:rPr>
      <w:t xml:space="preserve"> CAPÍTULO IV</w:t>
    </w:r>
    <w:r>
      <w:rPr>
        <w:b/>
        <w:lang w:val="pt-BR"/>
      </w:rPr>
      <w:tab/>
    </w:r>
    <w:r>
      <w:rPr>
        <w:b/>
        <w:lang w:val="pt-BR"/>
      </w:rPr>
      <w:tab/>
    </w:r>
  </w:p>
  <w:p w:rsidR="00F0621B" w:rsidRPr="0095011B" w:rsidP="000C531B" w14:paraId="2FDCB1CF" w14:textId="355E7AE9">
    <w:pPr>
      <w:pStyle w:val="Footer"/>
      <w:rPr>
        <w:rFonts w:cs="Arial"/>
        <w:b/>
        <w:szCs w:val="18"/>
        <w:lang w:val="es-CO"/>
      </w:rPr>
    </w:pPr>
    <w:r>
      <w:rPr>
        <w:b/>
        <w:lang w:val="pt-BR"/>
      </w:rPr>
      <w:t xml:space="preserve">Circular Externa </w:t>
    </w:r>
    <w:r w:rsidR="00CA6C91">
      <w:rPr>
        <w:b/>
        <w:lang w:val="pt-BR"/>
      </w:rPr>
      <w:t>007</w:t>
    </w:r>
    <w:r>
      <w:rPr>
        <w:b/>
        <w:lang w:val="pt-BR"/>
      </w:rPr>
      <w:t xml:space="preserve"> de</w:t>
    </w:r>
    <w:r>
      <w:rPr>
        <w:b/>
        <w:lang w:val="pt-BR"/>
      </w:rPr>
      <w:t xml:space="preserve"> 20</w:t>
    </w:r>
    <w:r w:rsidR="000841D2">
      <w:rPr>
        <w:b/>
        <w:lang w:val="pt-BR"/>
      </w:rPr>
      <w:t>21</w:t>
    </w:r>
    <w:r>
      <w:rPr>
        <w:b/>
        <w:lang w:val="pt-BR"/>
      </w:rPr>
      <w:t xml:space="preserve">                                                                                                         </w:t>
    </w:r>
    <w:r>
      <w:rPr>
        <w:b/>
        <w:lang w:val="pt-BR"/>
      </w:rPr>
      <w:t xml:space="preserve">     </w:t>
    </w:r>
    <w:r>
      <w:rPr>
        <w:b/>
        <w:lang w:val="pt-BR"/>
      </w:rPr>
      <w:t xml:space="preserve"> </w:t>
    </w:r>
    <w:r>
      <w:rPr>
        <w:b/>
        <w:lang w:val="pt-BR"/>
      </w:rPr>
      <w:t>Abril</w:t>
    </w:r>
    <w:r>
      <w:rPr>
        <w:b/>
        <w:lang w:val="pt-BR"/>
      </w:rPr>
      <w:t xml:space="preserve"> </w:t>
    </w:r>
    <w:r>
      <w:rPr>
        <w:rFonts w:cs="Arial"/>
        <w:b/>
        <w:szCs w:val="18"/>
        <w:lang w:val="es-CO"/>
      </w:rPr>
      <w:t>de</w:t>
    </w:r>
    <w:r>
      <w:rPr>
        <w:rFonts w:cs="Arial"/>
        <w:b/>
        <w:szCs w:val="18"/>
        <w:lang w:val="es-CO"/>
      </w:rPr>
      <w:t xml:space="preserve"> 20</w:t>
    </w:r>
    <w:r w:rsidR="000841D2">
      <w:rPr>
        <w:rFonts w:cs="Arial"/>
        <w:b/>
        <w:szCs w:val="18"/>
        <w:lang w:val="es-CO"/>
      </w:rPr>
      <w:t>21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810" w:rsidRPr="00112228" w:rsidP="00924F40" w14:paraId="677EFEC4" w14:textId="77777777">
    <w:pPr>
      <w:tabs>
        <w:tab w:val="center" w:pos="4252"/>
        <w:tab w:val="clear" w:pos="8504"/>
        <w:tab w:val="right" w:pos="8789"/>
      </w:tabs>
      <w:jc w:val="left"/>
      <w:rPr>
        <w:rFonts w:ascii="Arial" w:eastAsia="Times New Roman" w:hAnsi="Arial" w:cs="Times New Roman"/>
        <w:b/>
        <w:sz w:val="18"/>
        <w:szCs w:val="18"/>
        <w:lang w:val="es-ES_tradnl" w:eastAsia="es-CO" w:bidi="ar-SA"/>
      </w:rPr>
    </w:pPr>
    <w:r w:rsidRPr="00112228">
      <w:rPr>
        <w:rFonts w:ascii="Arial" w:eastAsia="Times New Roman" w:hAnsi="Arial" w:cs="Times New Roman"/>
        <w:b/>
        <w:sz w:val="18"/>
        <w:szCs w:val="18"/>
        <w:lang w:val="es-ES_tradnl" w:eastAsia="es-CO" w:bidi="ar-SA"/>
      </w:rPr>
      <w:t>PARTE II – TÍTULO IV – CAPÍTULO II</w:t>
    </w:r>
    <w:r w:rsidRPr="00112228">
      <w:rPr>
        <w:rFonts w:ascii="Arial" w:eastAsia="Times New Roman" w:hAnsi="Arial" w:cs="Times New Roman"/>
        <w:b/>
        <w:sz w:val="18"/>
        <w:szCs w:val="18"/>
        <w:lang w:val="es-ES_tradnl" w:eastAsia="es-CO" w:bidi="ar-SA"/>
      </w:rPr>
      <w:tab/>
    </w:r>
    <w:r w:rsidRPr="00112228">
      <w:rPr>
        <w:rFonts w:ascii="Arial" w:eastAsia="Times New Roman" w:hAnsi="Arial" w:cs="Times New Roman"/>
        <w:b/>
        <w:sz w:val="18"/>
        <w:szCs w:val="18"/>
        <w:lang w:val="es-ES_tradnl" w:eastAsia="es-CO" w:bidi="ar-SA"/>
      </w:rPr>
      <w:tab/>
    </w:r>
    <w:r>
      <w:rPr>
        <w:rFonts w:ascii="Arial" w:eastAsia="Times New Roman" w:hAnsi="Arial" w:cs="Times New Roman"/>
        <w:b/>
        <w:sz w:val="18"/>
        <w:szCs w:val="18"/>
        <w:lang w:val="es-ES_tradnl" w:eastAsia="es-CO" w:bidi="ar-SA"/>
      </w:rPr>
      <w:t xml:space="preserve">             PÁGINA </w:t>
    </w:r>
  </w:p>
  <w:p w:rsidR="00E02810" w:rsidRPr="00112228" w:rsidP="00924F40" w14:paraId="0E008497" w14:textId="77777777">
    <w:pPr>
      <w:tabs>
        <w:tab w:val="center" w:pos="4252"/>
        <w:tab w:val="right" w:pos="8504"/>
      </w:tabs>
      <w:jc w:val="left"/>
      <w:rPr>
        <w:rFonts w:ascii="Arial" w:eastAsia="Times New Roman" w:hAnsi="Arial" w:cs="Times New Roman"/>
        <w:b/>
        <w:sz w:val="18"/>
        <w:szCs w:val="18"/>
        <w:lang w:val="es-ES_tradnl" w:eastAsia="es-CO" w:bidi="ar-SA"/>
      </w:rPr>
    </w:pPr>
    <w:r>
      <w:rPr>
        <w:rFonts w:ascii="Arial" w:eastAsia="Times New Roman" w:hAnsi="Arial" w:cs="Times New Roman"/>
        <w:b/>
        <w:sz w:val="18"/>
        <w:szCs w:val="18"/>
        <w:lang w:val="es-ES_tradnl" w:eastAsia="es-CO" w:bidi="ar-SA"/>
      </w:rPr>
      <w:t xml:space="preserve">Circular Externa 025 de </w:t>
    </w:r>
    <w:r w:rsidRPr="00112228">
      <w:rPr>
        <w:rFonts w:ascii="Arial" w:eastAsia="Times New Roman" w:hAnsi="Arial" w:cs="Times New Roman"/>
        <w:b/>
        <w:sz w:val="18"/>
        <w:szCs w:val="18"/>
        <w:lang w:val="es-ES_tradnl" w:eastAsia="es-CO" w:bidi="ar-SA"/>
      </w:rPr>
      <w:t>201</w:t>
    </w:r>
    <w:r>
      <w:rPr>
        <w:rFonts w:ascii="Arial" w:eastAsia="Times New Roman" w:hAnsi="Arial" w:cs="Times New Roman"/>
        <w:b/>
        <w:sz w:val="18"/>
        <w:szCs w:val="18"/>
        <w:lang w:val="es-ES_tradnl" w:eastAsia="es-CO" w:bidi="ar-SA"/>
      </w:rPr>
      <w:t xml:space="preserve">7 </w:t>
    </w:r>
    <w:r w:rsidRPr="00112228">
      <w:rPr>
        <w:rFonts w:ascii="Arial" w:eastAsia="Times New Roman" w:hAnsi="Arial" w:cs="Times New Roman"/>
        <w:b/>
        <w:sz w:val="18"/>
        <w:szCs w:val="18"/>
        <w:lang w:val="es-ES_tradnl" w:eastAsia="es-CO" w:bidi="ar-SA"/>
      </w:rPr>
      <w:tab/>
      <w:t xml:space="preserve">                                                                        </w:t>
    </w:r>
    <w:r>
      <w:rPr>
        <w:rFonts w:ascii="Arial" w:eastAsia="Times New Roman" w:hAnsi="Arial" w:cs="Times New Roman"/>
        <w:b/>
        <w:sz w:val="18"/>
        <w:szCs w:val="18"/>
        <w:lang w:val="es-ES_tradnl" w:eastAsia="es-CO" w:bidi="ar-SA"/>
      </w:rPr>
      <w:t xml:space="preserve">                    Septiembre de 2017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1E3" w:rsidP="00BE660C" w14:paraId="1D4B228E" w14:textId="0DA59A01">
    <w:pPr>
      <w:tabs>
        <w:tab w:val="center" w:pos="4252"/>
        <w:tab w:val="clear" w:pos="8504"/>
        <w:tab w:val="right" w:pos="8789"/>
      </w:tabs>
      <w:jc w:val="left"/>
      <w:rPr>
        <w:rFonts w:ascii="Arial" w:eastAsia="Times New Roman" w:hAnsi="Arial" w:cs="Times New Roman"/>
        <w:b/>
        <w:sz w:val="18"/>
        <w:szCs w:val="18"/>
        <w:lang w:val="es-ES_tradnl" w:eastAsia="es-CO" w:bidi="ar-SA"/>
      </w:rPr>
    </w:pPr>
    <w:r w:rsidRPr="00492483">
      <w:rPr>
        <w:rFonts w:ascii="Arial" w:eastAsia="Times New Roman" w:hAnsi="Arial" w:cs="Times New Roman"/>
        <w:b/>
        <w:sz w:val="18"/>
        <w:szCs w:val="18"/>
        <w:lang w:val="es-ES_tradnl" w:eastAsia="es-CO" w:bidi="ar-SA"/>
      </w:rPr>
      <w:t xml:space="preserve">PARTE II  TÍTULO IV CAPÍTULO </w:t>
    </w:r>
    <w:r>
      <w:rPr>
        <w:rFonts w:ascii="Arial" w:eastAsia="Times New Roman" w:hAnsi="Arial" w:cs="Times New Roman"/>
        <w:b/>
        <w:sz w:val="18"/>
        <w:szCs w:val="18"/>
        <w:lang w:val="es-ES_tradnl" w:eastAsia="es-CO" w:bidi="ar-SA"/>
      </w:rPr>
      <w:t>II</w:t>
    </w:r>
    <w:r>
      <w:rPr>
        <w:rFonts w:ascii="Arial" w:eastAsia="Times New Roman" w:hAnsi="Arial" w:cs="Times New Roman"/>
        <w:b/>
        <w:sz w:val="18"/>
        <w:szCs w:val="18"/>
        <w:lang w:val="es-ES_tradnl" w:eastAsia="es-CO" w:bidi="ar-SA"/>
      </w:rPr>
      <w:tab/>
    </w:r>
    <w:r>
      <w:rPr>
        <w:rFonts w:ascii="Arial" w:eastAsia="Times New Roman" w:hAnsi="Arial" w:cs="Times New Roman"/>
        <w:b/>
        <w:sz w:val="18"/>
        <w:szCs w:val="18"/>
        <w:lang w:val="es-ES_tradnl" w:eastAsia="es-CO" w:bidi="ar-SA"/>
      </w:rPr>
      <w:tab/>
      <w:t xml:space="preserve">   PÁGINA 17-1</w:t>
    </w:r>
  </w:p>
  <w:p w:rsidR="007101E3" w:rsidRPr="00492483" w:rsidP="007656FF" w14:paraId="66795F7A" w14:textId="30A02692">
    <w:pPr>
      <w:tabs>
        <w:tab w:val="center" w:pos="4252"/>
        <w:tab w:val="right" w:pos="8504"/>
      </w:tabs>
      <w:jc w:val="left"/>
      <w:rPr>
        <w:rFonts w:ascii="Arial" w:eastAsia="Times New Roman" w:hAnsi="Arial" w:cs="Times New Roman"/>
        <w:b/>
        <w:sz w:val="18"/>
        <w:szCs w:val="18"/>
        <w:lang w:val="es-ES_tradnl" w:eastAsia="es-CO" w:bidi="ar-SA"/>
      </w:rPr>
    </w:pPr>
    <w:r>
      <w:rPr>
        <w:rFonts w:ascii="Arial" w:eastAsia="Times New Roman" w:hAnsi="Arial" w:cs="Times New Roman"/>
        <w:b/>
        <w:sz w:val="18"/>
        <w:szCs w:val="18"/>
        <w:lang w:val="es-ES_tradnl" w:eastAsia="es-CO" w:bidi="ar-SA"/>
      </w:rPr>
      <w:t xml:space="preserve">Circular </w:t>
    </w:r>
    <w:r>
      <w:rPr>
        <w:rFonts w:ascii="Arial" w:eastAsia="Times New Roman" w:hAnsi="Arial" w:cs="Times New Roman"/>
        <w:b/>
        <w:sz w:val="18"/>
        <w:szCs w:val="18"/>
        <w:lang w:val="es-ES_tradnl" w:eastAsia="es-CO" w:bidi="ar-SA"/>
      </w:rPr>
      <w:t xml:space="preserve">Externa </w:t>
    </w:r>
    <w:r w:rsidR="00667000">
      <w:rPr>
        <w:rFonts w:ascii="Arial" w:eastAsia="Times New Roman" w:hAnsi="Arial" w:cs="Times New Roman"/>
        <w:b/>
        <w:sz w:val="18"/>
        <w:szCs w:val="18"/>
        <w:lang w:val="es-ES_tradnl" w:eastAsia="es-CO" w:bidi="ar-SA"/>
      </w:rPr>
      <w:t xml:space="preserve"> </w:t>
    </w:r>
    <w:r w:rsidR="00814547">
      <w:rPr>
        <w:rFonts w:ascii="Arial" w:eastAsia="Times New Roman" w:hAnsi="Arial" w:cs="Times New Roman"/>
        <w:b/>
        <w:sz w:val="18"/>
        <w:szCs w:val="18"/>
        <w:lang w:val="es-ES_tradnl" w:eastAsia="es-CO" w:bidi="ar-SA"/>
      </w:rPr>
      <w:t>007</w:t>
    </w:r>
    <w:r>
      <w:rPr>
        <w:rFonts w:ascii="Arial" w:eastAsia="Times New Roman" w:hAnsi="Arial" w:cs="Times New Roman"/>
        <w:b/>
        <w:sz w:val="18"/>
        <w:szCs w:val="18"/>
        <w:lang w:val="es-ES_tradnl" w:eastAsia="es-CO" w:bidi="ar-SA"/>
      </w:rPr>
      <w:t xml:space="preserve"> de 2021</w:t>
    </w:r>
    <w:r>
      <w:rPr>
        <w:rFonts w:ascii="Arial" w:eastAsia="Times New Roman" w:hAnsi="Arial" w:cs="Times New Roman"/>
        <w:b/>
        <w:sz w:val="18"/>
        <w:szCs w:val="18"/>
        <w:lang w:val="es-ES_tradnl" w:eastAsia="es-CO" w:bidi="ar-SA"/>
      </w:rPr>
      <w:tab/>
      <w:t xml:space="preserve">                                                                                                     </w:t>
    </w:r>
    <w:r w:rsidR="00667000">
      <w:rPr>
        <w:rFonts w:ascii="Arial" w:eastAsia="Times New Roman" w:hAnsi="Arial" w:cs="Times New Roman"/>
        <w:b/>
        <w:sz w:val="18"/>
        <w:szCs w:val="18"/>
        <w:lang w:val="es-ES_tradnl" w:eastAsia="es-CO" w:bidi="ar-SA"/>
      </w:rPr>
      <w:t xml:space="preserve">  </w:t>
    </w:r>
    <w:r>
      <w:rPr>
        <w:rFonts w:ascii="Arial" w:eastAsia="Times New Roman" w:hAnsi="Arial" w:cs="Times New Roman"/>
        <w:b/>
        <w:sz w:val="18"/>
        <w:szCs w:val="18"/>
        <w:lang w:val="es-ES_tradnl" w:eastAsia="es-CO" w:bidi="ar-SA"/>
      </w:rPr>
      <w:t xml:space="preserve"> </w:t>
    </w:r>
    <w:r w:rsidR="00667000">
      <w:rPr>
        <w:rFonts w:ascii="Arial" w:eastAsia="Times New Roman" w:hAnsi="Arial" w:cs="Times New Roman"/>
        <w:b/>
        <w:sz w:val="18"/>
        <w:szCs w:val="18"/>
        <w:lang w:val="es-ES_tradnl" w:eastAsia="es-CO" w:bidi="ar-SA"/>
      </w:rPr>
      <w:t xml:space="preserve">Abril </w:t>
    </w:r>
    <w:r>
      <w:rPr>
        <w:rFonts w:ascii="Arial" w:eastAsia="Times New Roman" w:hAnsi="Arial" w:cs="Times New Roman"/>
        <w:b/>
        <w:sz w:val="18"/>
        <w:szCs w:val="18"/>
        <w:lang w:val="es-ES_tradnl" w:eastAsia="es-CO" w:bidi="ar-SA"/>
      </w:rPr>
      <w:t>de 2021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98D" w:rsidP="00222BFB" w14:paraId="2CC0397A" w14:textId="77777777">
    <w:pPr>
      <w:pStyle w:val="Footer"/>
      <w:tabs>
        <w:tab w:val="right" w:pos="8789"/>
      </w:tabs>
      <w:rPr>
        <w:b/>
        <w:szCs w:val="18"/>
      </w:rPr>
    </w:pPr>
    <w:r w:rsidRPr="00F0227F">
      <w:rPr>
        <w:b/>
        <w:lang w:val="pt-BR"/>
      </w:rPr>
      <w:t xml:space="preserve">PARTE II </w:t>
    </w:r>
    <w:r>
      <w:rPr>
        <w:b/>
        <w:lang w:val="pt-BR"/>
      </w:rPr>
      <w:t>– TÍTULO IV</w:t>
    </w:r>
    <w:r w:rsidRPr="00F0227F">
      <w:rPr>
        <w:b/>
        <w:lang w:val="pt-BR"/>
      </w:rPr>
      <w:t xml:space="preserve"> </w:t>
    </w:r>
    <w:r>
      <w:rPr>
        <w:b/>
        <w:lang w:val="pt-BR"/>
      </w:rPr>
      <w:t>–</w:t>
    </w:r>
    <w:r w:rsidRPr="00F0227F">
      <w:rPr>
        <w:b/>
        <w:lang w:val="pt-BR"/>
      </w:rPr>
      <w:t xml:space="preserve"> </w:t>
    </w:r>
    <w:r>
      <w:rPr>
        <w:b/>
        <w:lang w:val="pt-BR"/>
      </w:rPr>
      <w:t>ANEXO 15</w:t>
    </w:r>
    <w:r>
      <w:rPr>
        <w:b/>
        <w:szCs w:val="18"/>
      </w:rPr>
      <w:tab/>
    </w:r>
    <w:r>
      <w:rPr>
        <w:b/>
        <w:szCs w:val="18"/>
      </w:rPr>
      <w:tab/>
      <w:t xml:space="preserve">   PÁGINA 3</w:t>
    </w:r>
  </w:p>
  <w:p w:rsidR="0044398D" w14:paraId="6569D2A9" w14:textId="77777777">
    <w:pPr>
      <w:pStyle w:val="Footer"/>
    </w:pPr>
    <w:r>
      <w:rPr>
        <w:b/>
        <w:szCs w:val="18"/>
      </w:rPr>
      <w:t>Circular Externa XXX de 2021</w:t>
    </w:r>
    <w:r>
      <w:rPr>
        <w:b/>
        <w:szCs w:val="18"/>
      </w:rPr>
      <w:tab/>
      <w:t xml:space="preserve">                                                                                                      XXXX de 2021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98D" w:rsidP="002056AC" w14:paraId="15DDEFA1" w14:textId="77777777">
    <w:pPr>
      <w:pStyle w:val="Footer"/>
      <w:tabs>
        <w:tab w:val="clear" w:pos="8838"/>
        <w:tab w:val="right" w:pos="9072"/>
      </w:tabs>
      <w:rPr>
        <w:b/>
        <w:szCs w:val="18"/>
      </w:rPr>
    </w:pPr>
    <w:r w:rsidRPr="00F0227F">
      <w:rPr>
        <w:b/>
        <w:lang w:val="pt-BR"/>
      </w:rPr>
      <w:t xml:space="preserve">PARTE II </w:t>
    </w:r>
    <w:r>
      <w:rPr>
        <w:b/>
        <w:lang w:val="pt-BR"/>
      </w:rPr>
      <w:t>– TÍTULO IV</w:t>
    </w:r>
    <w:r w:rsidRPr="00F0227F">
      <w:rPr>
        <w:b/>
        <w:lang w:val="pt-BR"/>
      </w:rPr>
      <w:t xml:space="preserve"> </w:t>
    </w:r>
    <w:r>
      <w:rPr>
        <w:b/>
        <w:lang w:val="pt-BR"/>
      </w:rPr>
      <w:t>–</w:t>
    </w:r>
    <w:r w:rsidRPr="00F0227F">
      <w:rPr>
        <w:b/>
        <w:lang w:val="pt-BR"/>
      </w:rPr>
      <w:t xml:space="preserve"> </w:t>
    </w:r>
    <w:r>
      <w:rPr>
        <w:b/>
        <w:lang w:val="pt-BR"/>
      </w:rPr>
      <w:t>ANEXO 15</w:t>
    </w:r>
    <w:r>
      <w:rPr>
        <w:b/>
        <w:szCs w:val="18"/>
      </w:rPr>
      <w:tab/>
    </w:r>
    <w:r>
      <w:rPr>
        <w:b/>
        <w:szCs w:val="18"/>
      </w:rPr>
      <w:tab/>
      <w:t xml:space="preserve">   PÁGINA 2</w:t>
    </w:r>
  </w:p>
  <w:p w:rsidR="0044398D" w:rsidP="002056AC" w14:paraId="7E3EAB3B" w14:textId="07EF76F4">
    <w:pPr>
      <w:pStyle w:val="Footer"/>
    </w:pPr>
    <w:r>
      <w:rPr>
        <w:b/>
        <w:szCs w:val="18"/>
      </w:rPr>
      <w:t xml:space="preserve">Circular Externa </w:t>
    </w:r>
    <w:r w:rsidR="00A33A09">
      <w:rPr>
        <w:b/>
        <w:szCs w:val="18"/>
      </w:rPr>
      <w:t>007</w:t>
    </w:r>
    <w:r>
      <w:rPr>
        <w:b/>
        <w:szCs w:val="18"/>
      </w:rPr>
      <w:t xml:space="preserve"> de 2021</w:t>
    </w:r>
    <w:r>
      <w:rPr>
        <w:b/>
        <w:szCs w:val="18"/>
      </w:rPr>
      <w:tab/>
      <w:t xml:space="preserve">                                                                                                             </w:t>
    </w:r>
    <w:r>
      <w:rPr>
        <w:b/>
        <w:szCs w:val="18"/>
      </w:rPr>
      <w:t>Abril</w:t>
    </w:r>
    <w:r>
      <w:rPr>
        <w:b/>
        <w:szCs w:val="18"/>
      </w:rPr>
      <w:t xml:space="preserve"> de 2021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98D" w:rsidP="002056AC" w14:paraId="511E5D46" w14:textId="0E2123D0">
    <w:pPr>
      <w:pStyle w:val="Footer"/>
      <w:tabs>
        <w:tab w:val="clear" w:pos="8838"/>
        <w:tab w:val="right" w:pos="9072"/>
      </w:tabs>
      <w:rPr>
        <w:b/>
        <w:szCs w:val="18"/>
      </w:rPr>
    </w:pPr>
    <w:r w:rsidRPr="00F0227F">
      <w:rPr>
        <w:b/>
        <w:lang w:val="pt-BR"/>
      </w:rPr>
      <w:t xml:space="preserve">PARTE II </w:t>
    </w:r>
    <w:r>
      <w:rPr>
        <w:b/>
        <w:lang w:val="pt-BR"/>
      </w:rPr>
      <w:t>– TÍTULO IV</w:t>
    </w:r>
    <w:r w:rsidRPr="00F0227F">
      <w:rPr>
        <w:b/>
        <w:lang w:val="pt-BR"/>
      </w:rPr>
      <w:t xml:space="preserve"> </w:t>
    </w:r>
    <w:r>
      <w:rPr>
        <w:b/>
        <w:lang w:val="pt-BR"/>
      </w:rPr>
      <w:t>–</w:t>
    </w:r>
    <w:r w:rsidRPr="00F0227F">
      <w:rPr>
        <w:b/>
        <w:lang w:val="pt-BR"/>
      </w:rPr>
      <w:t xml:space="preserve"> </w:t>
    </w:r>
    <w:r>
      <w:rPr>
        <w:b/>
        <w:lang w:val="pt-BR"/>
      </w:rPr>
      <w:t>ANEXO 15</w:t>
    </w:r>
    <w:r>
      <w:rPr>
        <w:b/>
        <w:szCs w:val="18"/>
      </w:rPr>
      <w:tab/>
    </w:r>
    <w:r>
      <w:rPr>
        <w:b/>
        <w:szCs w:val="18"/>
      </w:rPr>
      <w:tab/>
      <w:t xml:space="preserve">  </w:t>
    </w:r>
    <w:r w:rsidR="002056AC">
      <w:rPr>
        <w:b/>
        <w:szCs w:val="18"/>
      </w:rPr>
      <w:t xml:space="preserve"> </w:t>
    </w:r>
    <w:r>
      <w:rPr>
        <w:b/>
        <w:szCs w:val="18"/>
      </w:rPr>
      <w:t xml:space="preserve"> </w:t>
    </w:r>
    <w:r w:rsidR="002056AC">
      <w:rPr>
        <w:b/>
        <w:szCs w:val="18"/>
      </w:rPr>
      <w:t xml:space="preserve"> </w:t>
    </w:r>
    <w:r>
      <w:rPr>
        <w:b/>
        <w:szCs w:val="18"/>
      </w:rPr>
      <w:t>PÁGINA 1</w:t>
    </w:r>
  </w:p>
  <w:p w:rsidR="0044398D" w:rsidP="00222BFB" w14:paraId="14ED218C" w14:textId="334F9FBE">
    <w:pPr>
      <w:pStyle w:val="Footer"/>
    </w:pPr>
    <w:r>
      <w:rPr>
        <w:b/>
        <w:szCs w:val="18"/>
      </w:rPr>
      <w:t xml:space="preserve">Circular Externa </w:t>
    </w:r>
    <w:r w:rsidR="00A33A09">
      <w:rPr>
        <w:b/>
        <w:szCs w:val="18"/>
      </w:rPr>
      <w:t>007</w:t>
    </w:r>
    <w:r w:rsidR="002056AC">
      <w:rPr>
        <w:b/>
        <w:szCs w:val="18"/>
      </w:rPr>
      <w:t xml:space="preserve"> </w:t>
    </w:r>
    <w:r>
      <w:rPr>
        <w:b/>
        <w:szCs w:val="18"/>
      </w:rPr>
      <w:t>de 2021</w:t>
    </w:r>
    <w:r>
      <w:rPr>
        <w:b/>
        <w:szCs w:val="18"/>
      </w:rPr>
      <w:tab/>
      <w:t xml:space="preserve">                                                                                                     </w:t>
    </w:r>
    <w:r w:rsidR="002056AC">
      <w:rPr>
        <w:b/>
        <w:szCs w:val="18"/>
      </w:rPr>
      <w:t xml:space="preserve"> </w:t>
    </w:r>
    <w:r>
      <w:rPr>
        <w:b/>
        <w:szCs w:val="18"/>
      </w:rPr>
      <w:t xml:space="preserve"> </w:t>
    </w:r>
    <w:r w:rsidR="002056AC">
      <w:rPr>
        <w:b/>
        <w:szCs w:val="18"/>
      </w:rPr>
      <w:t xml:space="preserve">      </w:t>
    </w:r>
    <w:r w:rsidR="002056AC">
      <w:rPr>
        <w:b/>
        <w:szCs w:val="18"/>
      </w:rPr>
      <w:t>Abril</w:t>
    </w:r>
    <w:r>
      <w:rPr>
        <w:b/>
        <w:szCs w:val="18"/>
      </w:rPr>
      <w:t xml:space="preserve"> de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AF0" w14:paraId="61F1F002" w14:textId="77777777">
    <w:pPr>
      <w:pStyle w:val="Footer"/>
    </w:pPr>
  </w:p>
  <w:p w:rsidR="000D40BD" w:rsidRPr="00F0227F" w:rsidP="000D40BD" w14:paraId="6D61B6E7" w14:textId="3A1D5FE3">
    <w:pPr>
      <w:pStyle w:val="Footer"/>
      <w:tabs>
        <w:tab w:val="clear" w:pos="8838"/>
        <w:tab w:val="right" w:pos="9072"/>
      </w:tabs>
      <w:rPr>
        <w:b/>
        <w:lang w:val="pt-BR"/>
      </w:rPr>
    </w:pPr>
    <w:r w:rsidRPr="00F0227F">
      <w:rPr>
        <w:b/>
        <w:lang w:val="pt-BR"/>
      </w:rPr>
      <w:t xml:space="preserve">PARTE II </w:t>
    </w:r>
    <w:r>
      <w:rPr>
        <w:b/>
        <w:lang w:val="pt-BR"/>
      </w:rPr>
      <w:t>–</w:t>
    </w:r>
    <w:r w:rsidRPr="00F0227F">
      <w:rPr>
        <w:b/>
        <w:lang w:val="pt-BR"/>
      </w:rPr>
      <w:t xml:space="preserve"> TÍTULO III </w:t>
    </w:r>
    <w:r>
      <w:rPr>
        <w:b/>
        <w:lang w:val="pt-BR"/>
      </w:rPr>
      <w:t>–</w:t>
    </w:r>
    <w:r w:rsidRPr="00F0227F">
      <w:rPr>
        <w:b/>
        <w:lang w:val="pt-BR"/>
      </w:rPr>
      <w:t xml:space="preserve"> CAPÍTULO IV</w:t>
    </w:r>
    <w:r>
      <w:rPr>
        <w:b/>
        <w:lang w:val="pt-BR"/>
      </w:rPr>
      <w:tab/>
    </w:r>
    <w:r w:rsidR="005F7E68">
      <w:rPr>
        <w:b/>
        <w:lang w:val="pt-BR"/>
      </w:rPr>
      <w:t xml:space="preserve">                                                                                              </w:t>
    </w:r>
    <w:r w:rsidR="00F47F59">
      <w:rPr>
        <w:b/>
        <w:lang w:val="pt-BR"/>
      </w:rPr>
      <w:t xml:space="preserve">       </w:t>
    </w:r>
    <w:r w:rsidR="00F47F59">
      <w:rPr>
        <w:rFonts w:cs="Arial"/>
        <w:b/>
        <w:szCs w:val="18"/>
        <w:lang w:val="es-CO"/>
      </w:rPr>
      <w:t>PÁGINA</w:t>
    </w:r>
    <w:r w:rsidR="005F7E68">
      <w:rPr>
        <w:b/>
        <w:lang w:val="pt-BR"/>
      </w:rPr>
      <w:t xml:space="preserve"> </w:t>
    </w:r>
    <w:r w:rsidRPr="005F7E68" w:rsidR="005F7E68">
      <w:rPr>
        <w:b/>
        <w:lang w:val="pt-BR"/>
      </w:rPr>
      <w:fldChar w:fldCharType="begin"/>
    </w:r>
    <w:r w:rsidRPr="005F7E68" w:rsidR="005F7E68">
      <w:rPr>
        <w:b/>
        <w:lang w:val="pt-BR"/>
      </w:rPr>
      <w:instrText xml:space="preserve"> PAGE   \* MERGEFORMAT </w:instrText>
    </w:r>
    <w:r w:rsidRPr="005F7E68" w:rsidR="005F7E68">
      <w:rPr>
        <w:b/>
        <w:lang w:val="pt-BR"/>
      </w:rPr>
      <w:fldChar w:fldCharType="separate"/>
    </w:r>
    <w:r w:rsidRPr="005F7E68" w:rsidR="005F7E68">
      <w:rPr>
        <w:b/>
        <w:noProof/>
        <w:lang w:val="pt-BR"/>
      </w:rPr>
      <w:t>1</w:t>
    </w:r>
    <w:r w:rsidRPr="005F7E68" w:rsidR="005F7E68">
      <w:rPr>
        <w:b/>
        <w:noProof/>
        <w:lang w:val="pt-BR"/>
      </w:rPr>
      <w:fldChar w:fldCharType="end"/>
    </w:r>
  </w:p>
  <w:p w:rsidR="00D77AF0" w:rsidRPr="00847DE4" w:rsidP="000D40BD" w14:paraId="3C459C27" w14:textId="23461D3A">
    <w:pPr>
      <w:pStyle w:val="Footer"/>
      <w:rPr>
        <w:rFonts w:cs="Arial"/>
        <w:b/>
        <w:szCs w:val="18"/>
        <w:lang w:val="es-CO"/>
      </w:rPr>
    </w:pPr>
    <w:r>
      <w:rPr>
        <w:b/>
        <w:lang w:val="pt-BR"/>
      </w:rPr>
      <w:t xml:space="preserve">Circular Externa </w:t>
    </w:r>
    <w:r w:rsidR="00CA6C91">
      <w:rPr>
        <w:b/>
        <w:lang w:val="pt-BR"/>
      </w:rPr>
      <w:t>007</w:t>
    </w:r>
    <w:r>
      <w:rPr>
        <w:b/>
        <w:lang w:val="pt-BR"/>
      </w:rPr>
      <w:t xml:space="preserve"> de 2021                                                                                                               </w:t>
    </w:r>
    <w:r>
      <w:rPr>
        <w:b/>
        <w:lang w:val="pt-BR"/>
      </w:rPr>
      <w:t>Abril</w:t>
    </w:r>
    <w:r>
      <w:rPr>
        <w:b/>
        <w:lang w:val="pt-BR"/>
      </w:rPr>
      <w:t xml:space="preserve"> </w:t>
    </w:r>
    <w:r>
      <w:rPr>
        <w:rFonts w:cs="Arial"/>
        <w:b/>
        <w:szCs w:val="18"/>
        <w:lang w:val="es-CO"/>
      </w:rPr>
      <w:t>de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D8C" w14:paraId="78A7F8F2" w14:textId="77777777">
    <w:pPr>
      <w:pStyle w:val="Footer"/>
    </w:pPr>
  </w:p>
  <w:p w:rsidR="00572D8C" w:rsidRPr="00F0227F" w:rsidP="000D40BD" w14:paraId="5F0657EB" w14:textId="738ACA5C">
    <w:pPr>
      <w:pStyle w:val="Footer"/>
      <w:tabs>
        <w:tab w:val="clear" w:pos="8838"/>
        <w:tab w:val="right" w:pos="9072"/>
      </w:tabs>
      <w:rPr>
        <w:b/>
        <w:lang w:val="pt-BR"/>
      </w:rPr>
    </w:pPr>
    <w:r w:rsidRPr="00F0227F">
      <w:rPr>
        <w:b/>
        <w:lang w:val="pt-BR"/>
      </w:rPr>
      <w:t xml:space="preserve">PARTE II </w:t>
    </w:r>
    <w:r>
      <w:rPr>
        <w:b/>
        <w:lang w:val="pt-BR"/>
      </w:rPr>
      <w:t>–</w:t>
    </w:r>
    <w:r w:rsidRPr="00F0227F">
      <w:rPr>
        <w:b/>
        <w:lang w:val="pt-BR"/>
      </w:rPr>
      <w:t xml:space="preserve"> TÍTULO III </w:t>
    </w:r>
    <w:r>
      <w:rPr>
        <w:b/>
        <w:lang w:val="pt-BR"/>
      </w:rPr>
      <w:t>–</w:t>
    </w:r>
    <w:r w:rsidRPr="00F0227F">
      <w:rPr>
        <w:b/>
        <w:lang w:val="pt-BR"/>
      </w:rPr>
      <w:t xml:space="preserve"> CAPÍTULO IV</w:t>
    </w:r>
    <w:r>
      <w:rPr>
        <w:b/>
        <w:lang w:val="pt-BR"/>
      </w:rPr>
      <w:tab/>
      <w:t xml:space="preserve">                                                                                              </w:t>
    </w:r>
    <w:r w:rsidR="00D60DAB">
      <w:rPr>
        <w:b/>
        <w:lang w:val="pt-BR"/>
      </w:rPr>
      <w:t xml:space="preserve"> </w:t>
    </w:r>
    <w:r>
      <w:rPr>
        <w:b/>
        <w:lang w:val="pt-BR"/>
      </w:rPr>
      <w:t xml:space="preserve"> </w:t>
    </w:r>
    <w:r>
      <w:rPr>
        <w:rFonts w:cs="Arial"/>
        <w:b/>
        <w:szCs w:val="18"/>
        <w:lang w:val="es-CO"/>
      </w:rPr>
      <w:t>PÁGINA</w:t>
    </w:r>
    <w:r>
      <w:rPr>
        <w:b/>
        <w:lang w:val="pt-BR"/>
      </w:rPr>
      <w:t xml:space="preserve"> </w:t>
    </w:r>
    <w:r w:rsidRPr="005F7E68">
      <w:rPr>
        <w:b/>
        <w:lang w:val="pt-BR"/>
      </w:rPr>
      <w:fldChar w:fldCharType="begin"/>
    </w:r>
    <w:r w:rsidRPr="005F7E68">
      <w:rPr>
        <w:b/>
        <w:lang w:val="pt-BR"/>
      </w:rPr>
      <w:instrText xml:space="preserve"> PAGE   \* MERGEFORMAT </w:instrText>
    </w:r>
    <w:r w:rsidRPr="005F7E68">
      <w:rPr>
        <w:b/>
        <w:lang w:val="pt-BR"/>
      </w:rPr>
      <w:fldChar w:fldCharType="separate"/>
    </w:r>
    <w:r w:rsidRPr="005F7E68">
      <w:rPr>
        <w:b/>
        <w:noProof/>
        <w:lang w:val="pt-BR"/>
      </w:rPr>
      <w:t>1</w:t>
    </w:r>
    <w:r w:rsidRPr="005F7E68">
      <w:rPr>
        <w:b/>
        <w:noProof/>
        <w:lang w:val="pt-BR"/>
      </w:rPr>
      <w:fldChar w:fldCharType="end"/>
    </w:r>
    <w:r>
      <w:rPr>
        <w:b/>
        <w:noProof/>
        <w:lang w:val="pt-BR"/>
      </w:rPr>
      <w:t xml:space="preserve"> </w:t>
    </w:r>
    <w:r w:rsidR="00D60DAB">
      <w:rPr>
        <w:b/>
        <w:noProof/>
        <w:lang w:val="pt-BR"/>
      </w:rPr>
      <w:t>- 1</w:t>
    </w:r>
  </w:p>
  <w:p w:rsidR="00572D8C" w:rsidRPr="00847DE4" w:rsidP="000D40BD" w14:paraId="54D2BC6C" w14:textId="217512BB">
    <w:pPr>
      <w:pStyle w:val="Footer"/>
      <w:rPr>
        <w:rFonts w:cs="Arial"/>
        <w:b/>
        <w:szCs w:val="18"/>
        <w:lang w:val="es-CO"/>
      </w:rPr>
    </w:pPr>
    <w:r>
      <w:rPr>
        <w:b/>
        <w:lang w:val="pt-BR"/>
      </w:rPr>
      <w:t xml:space="preserve">Circular Externa </w:t>
    </w:r>
    <w:r w:rsidR="00CA6C91">
      <w:rPr>
        <w:b/>
        <w:lang w:val="pt-BR"/>
      </w:rPr>
      <w:t>007</w:t>
    </w:r>
    <w:r>
      <w:rPr>
        <w:b/>
        <w:lang w:val="pt-BR"/>
      </w:rPr>
      <w:t xml:space="preserve"> de 2021                                                                                                               </w:t>
    </w:r>
    <w:r>
      <w:rPr>
        <w:b/>
        <w:lang w:val="pt-BR"/>
      </w:rPr>
      <w:t>Abril</w:t>
    </w:r>
    <w:r>
      <w:rPr>
        <w:b/>
        <w:lang w:val="pt-BR"/>
      </w:rPr>
      <w:t xml:space="preserve"> </w:t>
    </w:r>
    <w:r>
      <w:rPr>
        <w:rFonts w:cs="Arial"/>
        <w:b/>
        <w:szCs w:val="18"/>
        <w:lang w:val="es-CO"/>
      </w:rPr>
      <w:t>de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0DAB" w14:paraId="0EB0CDEA" w14:textId="77777777">
    <w:pPr>
      <w:pStyle w:val="Footer"/>
    </w:pPr>
  </w:p>
  <w:p w:rsidR="00D60DAB" w:rsidRPr="00F0227F" w:rsidP="000D40BD" w14:paraId="2FD853F7" w14:textId="59267B83">
    <w:pPr>
      <w:pStyle w:val="Footer"/>
      <w:tabs>
        <w:tab w:val="clear" w:pos="8838"/>
        <w:tab w:val="right" w:pos="9072"/>
      </w:tabs>
      <w:rPr>
        <w:b/>
        <w:lang w:val="pt-BR"/>
      </w:rPr>
    </w:pPr>
    <w:r w:rsidRPr="00F0227F">
      <w:rPr>
        <w:b/>
        <w:lang w:val="pt-BR"/>
      </w:rPr>
      <w:t xml:space="preserve">PARTE II </w:t>
    </w:r>
    <w:r>
      <w:rPr>
        <w:b/>
        <w:lang w:val="pt-BR"/>
      </w:rPr>
      <w:t>–</w:t>
    </w:r>
    <w:r w:rsidRPr="00F0227F">
      <w:rPr>
        <w:b/>
        <w:lang w:val="pt-BR"/>
      </w:rPr>
      <w:t xml:space="preserve"> TÍTULO III </w:t>
    </w:r>
    <w:r>
      <w:rPr>
        <w:b/>
        <w:lang w:val="pt-BR"/>
      </w:rPr>
      <w:t>–</w:t>
    </w:r>
    <w:r w:rsidRPr="00F0227F">
      <w:rPr>
        <w:b/>
        <w:lang w:val="pt-BR"/>
      </w:rPr>
      <w:t xml:space="preserve"> CAPÍTULO IV</w:t>
    </w:r>
    <w:r>
      <w:rPr>
        <w:b/>
        <w:lang w:val="pt-BR"/>
      </w:rPr>
      <w:tab/>
      <w:t xml:space="preserve">                                                                                                     </w:t>
    </w:r>
    <w:r>
      <w:rPr>
        <w:rFonts w:cs="Arial"/>
        <w:b/>
        <w:szCs w:val="18"/>
        <w:lang w:val="es-CO"/>
      </w:rPr>
      <w:t>PÁGINA</w:t>
    </w:r>
    <w:r>
      <w:rPr>
        <w:b/>
        <w:lang w:val="pt-BR"/>
      </w:rPr>
      <w:t xml:space="preserve"> </w:t>
    </w:r>
    <w:r w:rsidRPr="005F7E68">
      <w:rPr>
        <w:b/>
        <w:lang w:val="pt-BR"/>
      </w:rPr>
      <w:fldChar w:fldCharType="begin"/>
    </w:r>
    <w:r w:rsidRPr="005F7E68">
      <w:rPr>
        <w:b/>
        <w:lang w:val="pt-BR"/>
      </w:rPr>
      <w:instrText xml:space="preserve"> PAGE   \* MERGEFORMAT </w:instrText>
    </w:r>
    <w:r w:rsidRPr="005F7E68">
      <w:rPr>
        <w:b/>
        <w:lang w:val="pt-BR"/>
      </w:rPr>
      <w:fldChar w:fldCharType="separate"/>
    </w:r>
    <w:r w:rsidRPr="005F7E68">
      <w:rPr>
        <w:b/>
        <w:noProof/>
        <w:lang w:val="pt-BR"/>
      </w:rPr>
      <w:t>1</w:t>
    </w:r>
    <w:r w:rsidRPr="005F7E68">
      <w:rPr>
        <w:b/>
        <w:noProof/>
        <w:lang w:val="pt-BR"/>
      </w:rPr>
      <w:fldChar w:fldCharType="end"/>
    </w:r>
  </w:p>
  <w:p w:rsidR="00D60DAB" w:rsidRPr="00847DE4" w:rsidP="00847DE4" w14:paraId="1209766F" w14:textId="4BA4623C">
    <w:pPr>
      <w:pStyle w:val="Footer"/>
      <w:rPr>
        <w:rFonts w:cs="Arial"/>
        <w:b/>
        <w:szCs w:val="18"/>
        <w:lang w:val="es-CO"/>
      </w:rPr>
    </w:pPr>
    <w:r>
      <w:rPr>
        <w:b/>
        <w:lang w:val="pt-BR"/>
      </w:rPr>
      <w:t xml:space="preserve">Circular Externa </w:t>
    </w:r>
    <w:r w:rsidR="00CA6C91">
      <w:rPr>
        <w:b/>
        <w:lang w:val="pt-BR"/>
      </w:rPr>
      <w:t>007</w:t>
    </w:r>
    <w:r>
      <w:rPr>
        <w:b/>
        <w:lang w:val="pt-BR"/>
      </w:rPr>
      <w:t xml:space="preserve"> de 2021                                                                                                               </w:t>
    </w:r>
    <w:r>
      <w:rPr>
        <w:b/>
        <w:lang w:val="pt-BR"/>
      </w:rPr>
      <w:t>Abril</w:t>
    </w:r>
    <w:r>
      <w:rPr>
        <w:b/>
        <w:lang w:val="pt-BR"/>
      </w:rPr>
      <w:t xml:space="preserve"> </w:t>
    </w:r>
    <w:r>
      <w:rPr>
        <w:rFonts w:cs="Arial"/>
        <w:b/>
        <w:szCs w:val="18"/>
        <w:lang w:val="es-CO"/>
      </w:rPr>
      <w:t>de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5391" w:rsidRPr="00F4699A" w14:paraId="2113D614" w14:textId="77777777">
    <w:pPr>
      <w:tabs>
        <w:tab w:val="center" w:pos="4419"/>
        <w:tab w:val="right" w:pos="8838"/>
      </w:tabs>
      <w:jc w:val="left"/>
      <w:rPr>
        <w:rFonts w:ascii="Arial" w:eastAsia="Times New Roman" w:hAnsi="Arial" w:cs="Times New Roman"/>
        <w:sz w:val="18"/>
        <w:lang w:val="es-ES" w:eastAsia="es-CO" w:bidi="ar-SA"/>
      </w:rPr>
    </w:pPr>
  </w:p>
  <w:p w:rsidR="00595391" w14:paraId="11087E02" w14:textId="77777777">
    <w:pPr>
      <w:tabs>
        <w:tab w:val="center" w:pos="4419"/>
        <w:tab w:val="right" w:pos="8838"/>
      </w:tabs>
      <w:jc w:val="left"/>
      <w:rPr>
        <w:rFonts w:ascii="Arial" w:eastAsia="Times New Roman" w:hAnsi="Arial" w:cs="Times New Roman"/>
        <w:b/>
        <w:sz w:val="18"/>
        <w:szCs w:val="18"/>
        <w:lang w:val="es-ES" w:eastAsia="es-CO" w:bidi="ar-SA"/>
      </w:rPr>
    </w:pPr>
    <w:r w:rsidRPr="00F30E2A">
      <w:rPr>
        <w:rFonts w:ascii="Arial" w:eastAsia="Times New Roman" w:hAnsi="Arial" w:cs="Times New Roman"/>
        <w:b/>
        <w:sz w:val="18"/>
        <w:szCs w:val="18"/>
        <w:lang w:val="es-ES" w:eastAsia="es-CO" w:bidi="ar-SA"/>
      </w:rPr>
      <w:t>PARTE II – TÍTULO IV – CAPÍTULO I</w:t>
    </w:r>
    <w:r w:rsidRPr="00F30E2A">
      <w:rPr>
        <w:rFonts w:ascii="Arial" w:eastAsia="Times New Roman" w:hAnsi="Arial" w:cs="Times New Roman"/>
        <w:b/>
        <w:sz w:val="18"/>
        <w:szCs w:val="18"/>
        <w:lang w:val="es-ES" w:eastAsia="es-CO" w:bidi="ar-SA"/>
      </w:rPr>
      <w:tab/>
    </w:r>
    <w:r>
      <w:rPr>
        <w:rFonts w:ascii="Arial" w:eastAsia="Times New Roman" w:hAnsi="Arial" w:cs="Times New Roman"/>
        <w:b/>
        <w:sz w:val="18"/>
        <w:szCs w:val="18"/>
        <w:lang w:val="es-ES" w:eastAsia="es-CO" w:bidi="ar-SA"/>
      </w:rPr>
      <w:t xml:space="preserve">                                                                                              </w:t>
    </w:r>
  </w:p>
  <w:p w:rsidR="00595391" w:rsidRPr="00F30E2A" w:rsidP="00EF3587" w14:paraId="0DD6C3CF" w14:textId="1C8884EA">
    <w:pPr>
      <w:tabs>
        <w:tab w:val="clear" w:pos="4419"/>
        <w:tab w:val="center" w:pos="8647"/>
        <w:tab w:val="right" w:pos="8838"/>
      </w:tabs>
      <w:jc w:val="both"/>
      <w:rPr>
        <w:rFonts w:ascii="Arial" w:eastAsia="Times New Roman" w:hAnsi="Arial" w:cs="Times New Roman"/>
        <w:b/>
        <w:sz w:val="18"/>
        <w:szCs w:val="18"/>
        <w:lang w:val="es-ES" w:eastAsia="es-CO" w:bidi="ar-SA"/>
      </w:rPr>
    </w:pPr>
    <w:r w:rsidRPr="000B3A0F">
      <w:rPr>
        <w:rFonts w:ascii="Arial" w:eastAsia="Times New Roman" w:hAnsi="Arial" w:cs="Times New Roman"/>
        <w:b/>
        <w:sz w:val="18"/>
        <w:szCs w:val="18"/>
        <w:lang w:val="es-ES" w:eastAsia="es-CO" w:bidi="ar-SA"/>
      </w:rPr>
      <w:t xml:space="preserve">Circular Externa </w:t>
    </w:r>
    <w:r w:rsidR="00CE536C">
      <w:rPr>
        <w:rFonts w:ascii="Arial" w:eastAsia="Times New Roman" w:hAnsi="Arial" w:cs="Times New Roman"/>
        <w:b/>
        <w:sz w:val="18"/>
        <w:szCs w:val="18"/>
        <w:lang w:val="es-ES" w:eastAsia="es-CO" w:bidi="ar-SA"/>
      </w:rPr>
      <w:t xml:space="preserve">007 </w:t>
    </w:r>
    <w:r w:rsidRPr="000B3A0F">
      <w:rPr>
        <w:rFonts w:ascii="Arial" w:eastAsia="Times New Roman" w:hAnsi="Arial" w:cs="Times New Roman"/>
        <w:b/>
        <w:sz w:val="18"/>
        <w:szCs w:val="18"/>
        <w:lang w:val="es-ES" w:eastAsia="es-CO" w:bidi="ar-SA"/>
      </w:rPr>
      <w:t>de 20</w:t>
    </w:r>
    <w:r>
      <w:rPr>
        <w:rFonts w:ascii="Arial" w:eastAsia="Times New Roman" w:hAnsi="Arial" w:cs="Times New Roman"/>
        <w:b/>
        <w:sz w:val="18"/>
        <w:szCs w:val="18"/>
        <w:lang w:val="es-ES" w:eastAsia="es-CO" w:bidi="ar-SA"/>
      </w:rPr>
      <w:t>21</w:t>
    </w:r>
    <w:r w:rsidRPr="000B3A0F">
      <w:rPr>
        <w:rFonts w:ascii="Arial" w:eastAsia="Times New Roman" w:hAnsi="Arial" w:cs="Times New Roman"/>
        <w:b/>
        <w:sz w:val="18"/>
        <w:szCs w:val="18"/>
        <w:lang w:val="es-ES" w:eastAsia="es-CO" w:bidi="ar-SA"/>
      </w:rPr>
      <w:t xml:space="preserve">                                                                   </w:t>
    </w:r>
    <w:r>
      <w:rPr>
        <w:rFonts w:ascii="Arial" w:eastAsia="Times New Roman" w:hAnsi="Arial" w:cs="Times New Roman"/>
        <w:b/>
        <w:sz w:val="18"/>
        <w:szCs w:val="18"/>
        <w:lang w:val="es-ES" w:eastAsia="es-CO" w:bidi="ar-SA"/>
      </w:rPr>
      <w:t xml:space="preserve">                                    </w:t>
    </w:r>
    <w:r w:rsidR="00E80987">
      <w:rPr>
        <w:rFonts w:ascii="Arial" w:eastAsia="Times New Roman" w:hAnsi="Arial" w:cs="Times New Roman"/>
        <w:b/>
        <w:sz w:val="18"/>
        <w:szCs w:val="18"/>
        <w:lang w:val="es-ES" w:eastAsia="es-CO" w:bidi="ar-SA"/>
      </w:rPr>
      <w:t>Abril</w:t>
    </w:r>
    <w:r>
      <w:rPr>
        <w:rFonts w:ascii="Arial" w:eastAsia="Times New Roman" w:hAnsi="Arial" w:cs="Times New Roman"/>
        <w:b/>
        <w:sz w:val="18"/>
        <w:szCs w:val="18"/>
        <w:lang w:val="es-ES" w:eastAsia="es-CO" w:bidi="ar-SA"/>
      </w:rPr>
      <w:t xml:space="preserve"> de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5391" w:rsidRPr="000D62A2" w:rsidP="008C3E56" w14:paraId="74B2D7E0" w14:textId="77777777">
    <w:pPr>
      <w:tabs>
        <w:tab w:val="center" w:pos="4419"/>
        <w:tab w:val="right" w:pos="8838"/>
      </w:tabs>
      <w:jc w:val="left"/>
      <w:rPr>
        <w:rFonts w:ascii="Arial" w:eastAsia="Times New Roman" w:hAnsi="Arial" w:cs="Arial"/>
        <w:b/>
        <w:sz w:val="18"/>
        <w:szCs w:val="18"/>
        <w:lang w:val="es-ES" w:eastAsia="es-CO" w:bidi="ar-SA"/>
      </w:rPr>
    </w:pPr>
    <w:r w:rsidRPr="000D62A2">
      <w:rPr>
        <w:rFonts w:ascii="Arial" w:eastAsia="Times New Roman" w:hAnsi="Arial" w:cs="Arial"/>
        <w:b/>
        <w:sz w:val="18"/>
        <w:szCs w:val="18"/>
        <w:lang w:val="pt-BR" w:eastAsia="es-CO" w:bidi="ar-SA"/>
      </w:rPr>
      <w:t>PARTE II –</w:t>
    </w:r>
    <w:r>
      <w:rPr>
        <w:rFonts w:ascii="Arial" w:eastAsia="Times New Roman" w:hAnsi="Arial" w:cs="Arial"/>
        <w:b/>
        <w:sz w:val="18"/>
        <w:szCs w:val="18"/>
        <w:lang w:val="pt-BR" w:eastAsia="es-CO" w:bidi="ar-SA"/>
      </w:rPr>
      <w:t xml:space="preserve"> TÍTULO </w:t>
    </w:r>
    <w:r w:rsidRPr="000D62A2">
      <w:rPr>
        <w:rFonts w:ascii="Arial" w:eastAsia="Times New Roman" w:hAnsi="Arial" w:cs="Arial"/>
        <w:b/>
        <w:sz w:val="18"/>
        <w:szCs w:val="18"/>
        <w:lang w:val="pt-BR" w:eastAsia="es-CO" w:bidi="ar-SA"/>
      </w:rPr>
      <w:t>I</w:t>
    </w:r>
    <w:r>
      <w:rPr>
        <w:rFonts w:ascii="Arial" w:eastAsia="Times New Roman" w:hAnsi="Arial" w:cs="Arial"/>
        <w:b/>
        <w:sz w:val="18"/>
        <w:szCs w:val="18"/>
        <w:lang w:val="pt-BR" w:eastAsia="es-CO" w:bidi="ar-SA"/>
      </w:rPr>
      <w:t>V</w:t>
    </w:r>
    <w:r w:rsidRPr="000D62A2">
      <w:rPr>
        <w:rFonts w:ascii="Arial" w:eastAsia="Times New Roman" w:hAnsi="Arial" w:cs="Arial"/>
        <w:b/>
        <w:sz w:val="18"/>
        <w:szCs w:val="18"/>
        <w:lang w:val="pt-BR" w:eastAsia="es-CO" w:bidi="ar-SA"/>
      </w:rPr>
      <w:t xml:space="preserve"> – CAPÍTULO I</w:t>
    </w:r>
    <w:r w:rsidRPr="000D62A2">
      <w:rPr>
        <w:rFonts w:ascii="Arial" w:eastAsia="Times New Roman" w:hAnsi="Arial" w:cs="Arial"/>
        <w:b/>
        <w:sz w:val="18"/>
        <w:szCs w:val="18"/>
        <w:lang w:val="pt-BR" w:eastAsia="es-CO" w:bidi="ar-SA"/>
      </w:rPr>
      <w:tab/>
      <w:t xml:space="preserve">                                                                                 </w:t>
    </w:r>
    <w:r>
      <w:rPr>
        <w:rFonts w:ascii="Arial" w:eastAsia="Times New Roman" w:hAnsi="Arial" w:cs="Arial"/>
        <w:b/>
        <w:sz w:val="18"/>
        <w:szCs w:val="18"/>
        <w:lang w:val="pt-BR" w:eastAsia="es-CO" w:bidi="ar-SA"/>
      </w:rPr>
      <w:t xml:space="preserve">            </w:t>
    </w:r>
    <w:r w:rsidRPr="000D62A2">
      <w:rPr>
        <w:rFonts w:ascii="Arial" w:eastAsia="Times New Roman" w:hAnsi="Arial" w:cs="Arial"/>
        <w:b/>
        <w:sz w:val="18"/>
        <w:szCs w:val="18"/>
        <w:lang w:val="pt-BR" w:eastAsia="es-CO" w:bidi="ar-SA"/>
      </w:rPr>
      <w:t xml:space="preserve">     </w:t>
    </w:r>
    <w:r w:rsidRPr="000D62A2">
      <w:rPr>
        <w:rFonts w:ascii="Arial" w:eastAsia="Times New Roman" w:hAnsi="Arial" w:cs="Arial"/>
        <w:b/>
        <w:sz w:val="18"/>
        <w:szCs w:val="18"/>
        <w:lang w:val="es-ES" w:eastAsia="es-CO" w:bidi="ar-SA"/>
      </w:rPr>
      <w:t xml:space="preserve">PÁGINA </w:t>
    </w:r>
    <w:r>
      <w:rPr>
        <w:rFonts w:ascii="Arial" w:eastAsia="Times New Roman" w:hAnsi="Arial" w:cs="Arial"/>
        <w:b/>
        <w:sz w:val="18"/>
        <w:szCs w:val="18"/>
        <w:lang w:val="es-ES" w:eastAsia="es-CO" w:bidi="ar-SA"/>
      </w:rPr>
      <w:t>3</w:t>
    </w:r>
  </w:p>
  <w:p w:rsidR="00595391" w:rsidRPr="00EA4A2A" w14:paraId="0C10A922" w14:textId="77777777">
    <w:pPr>
      <w:tabs>
        <w:tab w:val="center" w:pos="4419"/>
        <w:tab w:val="right" w:pos="8838"/>
      </w:tabs>
      <w:jc w:val="left"/>
      <w:rPr>
        <w:rFonts w:ascii="Arial" w:eastAsia="Times New Roman" w:hAnsi="Arial" w:cs="Times New Roman"/>
        <w:b/>
        <w:sz w:val="18"/>
        <w:szCs w:val="18"/>
        <w:lang w:val="es-ES" w:eastAsia="es-CO" w:bidi="ar-SA"/>
      </w:rPr>
    </w:pPr>
    <w:r w:rsidRPr="00EA4A2A">
      <w:rPr>
        <w:rFonts w:ascii="Arial" w:eastAsia="Times New Roman" w:hAnsi="Arial" w:cs="Times New Roman"/>
        <w:b/>
        <w:sz w:val="18"/>
        <w:szCs w:val="18"/>
        <w:lang w:val="es-ES" w:eastAsia="es-CO" w:bidi="ar-SA"/>
      </w:rPr>
      <w:t xml:space="preserve">Circular Externa </w:t>
    </w:r>
    <w:r>
      <w:rPr>
        <w:rFonts w:ascii="Arial" w:eastAsia="Times New Roman" w:hAnsi="Arial" w:cs="Times New Roman"/>
        <w:b/>
        <w:sz w:val="18"/>
        <w:szCs w:val="18"/>
        <w:lang w:val="es-ES" w:eastAsia="es-CO" w:bidi="ar-SA"/>
      </w:rPr>
      <w:t>014</w:t>
    </w:r>
    <w:r w:rsidRPr="00EA4A2A">
      <w:rPr>
        <w:rFonts w:ascii="Arial" w:eastAsia="Times New Roman" w:hAnsi="Arial" w:cs="Times New Roman"/>
        <w:b/>
        <w:sz w:val="18"/>
        <w:szCs w:val="18"/>
        <w:lang w:val="es-ES" w:eastAsia="es-CO" w:bidi="ar-SA"/>
      </w:rPr>
      <w:t xml:space="preserve"> de 2015                                                                                      </w:t>
    </w:r>
    <w:r>
      <w:rPr>
        <w:rFonts w:ascii="Arial" w:eastAsia="Times New Roman" w:hAnsi="Arial" w:cs="Times New Roman"/>
        <w:b/>
        <w:sz w:val="18"/>
        <w:szCs w:val="18"/>
        <w:lang w:val="es-ES" w:eastAsia="es-CO" w:bidi="ar-SA"/>
      </w:rPr>
      <w:t xml:space="preserve">                Junio</w:t>
    </w:r>
    <w:r w:rsidRPr="00EA4A2A">
      <w:rPr>
        <w:rFonts w:ascii="Arial" w:eastAsia="Times New Roman" w:hAnsi="Arial" w:cs="Times New Roman"/>
        <w:b/>
        <w:sz w:val="18"/>
        <w:szCs w:val="18"/>
        <w:lang w:val="es-ES" w:eastAsia="es-CO" w:bidi="ar-SA"/>
      </w:rPr>
      <w:t xml:space="preserve"> de 2015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5391" w:rsidP="008C3E56" w14:paraId="741D29F9" w14:textId="77777777">
    <w:pPr>
      <w:tabs>
        <w:tab w:val="center" w:pos="4419"/>
        <w:tab w:val="right" w:pos="8838"/>
      </w:tabs>
      <w:jc w:val="left"/>
      <w:rPr>
        <w:rFonts w:ascii="Arial" w:eastAsia="Times New Roman" w:hAnsi="Arial" w:cs="Arial"/>
        <w:b/>
        <w:sz w:val="18"/>
        <w:szCs w:val="18"/>
        <w:lang w:val="pt-BR" w:eastAsia="es-CO" w:bidi="ar-SA"/>
      </w:rPr>
    </w:pPr>
  </w:p>
  <w:p w:rsidR="00595391" w:rsidP="008C3E56" w14:paraId="1DE03B0E" w14:textId="77777777">
    <w:pPr>
      <w:tabs>
        <w:tab w:val="center" w:pos="4419"/>
        <w:tab w:val="right" w:pos="8838"/>
      </w:tabs>
      <w:jc w:val="left"/>
      <w:rPr>
        <w:rFonts w:ascii="Arial" w:eastAsia="Times New Roman" w:hAnsi="Arial" w:cs="Arial"/>
        <w:b/>
        <w:sz w:val="18"/>
        <w:szCs w:val="18"/>
        <w:lang w:val="es-ES" w:eastAsia="es-CO" w:bidi="ar-SA"/>
      </w:rPr>
    </w:pPr>
    <w:r w:rsidRPr="000D62A2">
      <w:rPr>
        <w:rFonts w:ascii="Arial" w:eastAsia="Times New Roman" w:hAnsi="Arial" w:cs="Arial"/>
        <w:b/>
        <w:sz w:val="18"/>
        <w:szCs w:val="18"/>
        <w:lang w:val="pt-BR" w:eastAsia="es-CO" w:bidi="ar-SA"/>
      </w:rPr>
      <w:t>PARTE II –</w:t>
    </w:r>
    <w:r>
      <w:rPr>
        <w:rFonts w:ascii="Arial" w:eastAsia="Times New Roman" w:hAnsi="Arial" w:cs="Arial"/>
        <w:b/>
        <w:sz w:val="18"/>
        <w:szCs w:val="18"/>
        <w:lang w:val="pt-BR" w:eastAsia="es-CO" w:bidi="ar-SA"/>
      </w:rPr>
      <w:t xml:space="preserve"> TÍTULO </w:t>
    </w:r>
    <w:r w:rsidRPr="000D62A2">
      <w:rPr>
        <w:rFonts w:ascii="Arial" w:eastAsia="Times New Roman" w:hAnsi="Arial" w:cs="Arial"/>
        <w:b/>
        <w:sz w:val="18"/>
        <w:szCs w:val="18"/>
        <w:lang w:val="pt-BR" w:eastAsia="es-CO" w:bidi="ar-SA"/>
      </w:rPr>
      <w:t>I</w:t>
    </w:r>
    <w:r>
      <w:rPr>
        <w:rFonts w:ascii="Arial" w:eastAsia="Times New Roman" w:hAnsi="Arial" w:cs="Arial"/>
        <w:b/>
        <w:sz w:val="18"/>
        <w:szCs w:val="18"/>
        <w:lang w:val="pt-BR" w:eastAsia="es-CO" w:bidi="ar-SA"/>
      </w:rPr>
      <w:t>V</w:t>
    </w:r>
    <w:r w:rsidRPr="000D62A2">
      <w:rPr>
        <w:rFonts w:ascii="Arial" w:eastAsia="Times New Roman" w:hAnsi="Arial" w:cs="Arial"/>
        <w:b/>
        <w:sz w:val="18"/>
        <w:szCs w:val="18"/>
        <w:lang w:val="pt-BR" w:eastAsia="es-CO" w:bidi="ar-SA"/>
      </w:rPr>
      <w:t xml:space="preserve"> – CAPÍTULO I</w:t>
    </w:r>
    <w:r w:rsidRPr="000D62A2">
      <w:rPr>
        <w:rFonts w:ascii="Arial" w:eastAsia="Times New Roman" w:hAnsi="Arial" w:cs="Arial"/>
        <w:b/>
        <w:sz w:val="18"/>
        <w:szCs w:val="18"/>
        <w:lang w:val="pt-BR" w:eastAsia="es-CO" w:bidi="ar-SA"/>
      </w:rPr>
      <w:tab/>
      <w:t xml:space="preserve">                                                                                 </w:t>
    </w:r>
    <w:r>
      <w:rPr>
        <w:rFonts w:ascii="Arial" w:eastAsia="Times New Roman" w:hAnsi="Arial" w:cs="Arial"/>
        <w:b/>
        <w:sz w:val="18"/>
        <w:szCs w:val="18"/>
        <w:lang w:val="pt-BR" w:eastAsia="es-CO" w:bidi="ar-SA"/>
      </w:rPr>
      <w:t xml:space="preserve">            </w:t>
    </w:r>
    <w:r w:rsidRPr="000D62A2">
      <w:rPr>
        <w:rFonts w:ascii="Arial" w:eastAsia="Times New Roman" w:hAnsi="Arial" w:cs="Arial"/>
        <w:b/>
        <w:sz w:val="18"/>
        <w:szCs w:val="18"/>
        <w:lang w:val="pt-BR" w:eastAsia="es-CO" w:bidi="ar-SA"/>
      </w:rPr>
      <w:t xml:space="preserve">     </w:t>
    </w:r>
    <w:r w:rsidRPr="000D62A2">
      <w:rPr>
        <w:rFonts w:ascii="Arial" w:eastAsia="Times New Roman" w:hAnsi="Arial" w:cs="Arial"/>
        <w:b/>
        <w:sz w:val="18"/>
        <w:szCs w:val="18"/>
        <w:lang w:val="es-ES" w:eastAsia="es-CO" w:bidi="ar-SA"/>
      </w:rPr>
      <w:t xml:space="preserve">PÁGINA </w:t>
    </w:r>
    <w:r w:rsidRPr="0025389A">
      <w:rPr>
        <w:rFonts w:ascii="Arial" w:eastAsia="Times New Roman" w:hAnsi="Arial" w:cs="Arial"/>
        <w:b/>
        <w:sz w:val="18"/>
        <w:szCs w:val="18"/>
        <w:lang w:val="es-ES" w:eastAsia="es-CO" w:bidi="ar-SA"/>
      </w:rPr>
      <w:fldChar w:fldCharType="begin"/>
    </w:r>
    <w:r w:rsidRPr="0025389A">
      <w:rPr>
        <w:rFonts w:ascii="Arial" w:eastAsia="Times New Roman" w:hAnsi="Arial" w:cs="Arial"/>
        <w:b/>
        <w:sz w:val="18"/>
        <w:szCs w:val="18"/>
        <w:lang w:val="es-ES" w:eastAsia="es-CO" w:bidi="ar-SA"/>
      </w:rPr>
      <w:instrText>PAGE   \* MERGEFORMAT</w:instrText>
    </w:r>
    <w:r w:rsidRPr="0025389A">
      <w:rPr>
        <w:rFonts w:ascii="Arial" w:eastAsia="Times New Roman" w:hAnsi="Arial" w:cs="Arial"/>
        <w:b/>
        <w:sz w:val="18"/>
        <w:szCs w:val="18"/>
        <w:lang w:val="es-ES" w:eastAsia="es-CO" w:bidi="ar-SA"/>
      </w:rPr>
      <w:fldChar w:fldCharType="separate"/>
    </w:r>
    <w:r>
      <w:rPr>
        <w:rFonts w:ascii="Arial" w:eastAsia="Times New Roman" w:hAnsi="Arial" w:cs="Arial"/>
        <w:b/>
        <w:noProof/>
        <w:sz w:val="18"/>
        <w:szCs w:val="18"/>
        <w:lang w:val="es-ES" w:eastAsia="es-CO" w:bidi="ar-SA"/>
      </w:rPr>
      <w:t>3</w:t>
    </w:r>
    <w:r w:rsidRPr="0025389A">
      <w:rPr>
        <w:rFonts w:ascii="Arial" w:eastAsia="Times New Roman" w:hAnsi="Arial" w:cs="Arial"/>
        <w:b/>
        <w:sz w:val="18"/>
        <w:szCs w:val="18"/>
        <w:lang w:val="es-ES" w:eastAsia="es-CO" w:bidi="ar-SA"/>
      </w:rPr>
      <w:fldChar w:fldCharType="end"/>
    </w:r>
  </w:p>
  <w:p w:rsidR="00595391" w:rsidRPr="00582FCC" w:rsidP="008C3E56" w14:paraId="3E465CD5" w14:textId="7856F217">
    <w:pPr>
      <w:tabs>
        <w:tab w:val="clear" w:pos="4419"/>
        <w:tab w:val="center" w:pos="8647"/>
        <w:tab w:val="right" w:pos="8838"/>
      </w:tabs>
      <w:jc w:val="both"/>
      <w:rPr>
        <w:rFonts w:ascii="Arial" w:eastAsia="Times New Roman" w:hAnsi="Arial" w:cs="Times New Roman"/>
        <w:b/>
        <w:sz w:val="18"/>
        <w:szCs w:val="18"/>
        <w:lang w:val="es-ES" w:eastAsia="es-CO" w:bidi="ar-SA"/>
      </w:rPr>
    </w:pPr>
    <w:r w:rsidRPr="000B3A0F">
      <w:rPr>
        <w:rFonts w:ascii="Arial" w:eastAsia="Times New Roman" w:hAnsi="Arial" w:cs="Times New Roman"/>
        <w:b/>
        <w:sz w:val="18"/>
        <w:szCs w:val="18"/>
        <w:lang w:val="es-ES" w:eastAsia="es-CO" w:bidi="ar-SA"/>
      </w:rPr>
      <w:t xml:space="preserve">Circular Externa </w:t>
    </w:r>
    <w:r w:rsidR="00CE536C">
      <w:rPr>
        <w:rFonts w:ascii="Arial" w:eastAsia="Times New Roman" w:hAnsi="Arial" w:cs="Times New Roman"/>
        <w:b/>
        <w:sz w:val="18"/>
        <w:szCs w:val="18"/>
        <w:lang w:val="es-ES" w:eastAsia="es-CO" w:bidi="ar-SA"/>
      </w:rPr>
      <w:t>007</w:t>
    </w:r>
    <w:r w:rsidR="00E80987">
      <w:rPr>
        <w:rFonts w:ascii="Arial" w:eastAsia="Times New Roman" w:hAnsi="Arial" w:cs="Times New Roman"/>
        <w:b/>
        <w:sz w:val="18"/>
        <w:szCs w:val="18"/>
        <w:lang w:val="es-ES" w:eastAsia="es-CO" w:bidi="ar-SA"/>
      </w:rPr>
      <w:t xml:space="preserve"> </w:t>
    </w:r>
    <w:r w:rsidRPr="000B3A0F">
      <w:rPr>
        <w:rFonts w:ascii="Arial" w:eastAsia="Times New Roman" w:hAnsi="Arial" w:cs="Times New Roman"/>
        <w:b/>
        <w:sz w:val="18"/>
        <w:szCs w:val="18"/>
        <w:lang w:val="es-ES" w:eastAsia="es-CO" w:bidi="ar-SA"/>
      </w:rPr>
      <w:t>de 20</w:t>
    </w:r>
    <w:r>
      <w:rPr>
        <w:rFonts w:ascii="Arial" w:eastAsia="Times New Roman" w:hAnsi="Arial" w:cs="Times New Roman"/>
        <w:b/>
        <w:sz w:val="18"/>
        <w:szCs w:val="18"/>
        <w:lang w:val="es-ES" w:eastAsia="es-CO" w:bidi="ar-SA"/>
      </w:rPr>
      <w:t>21</w:t>
    </w:r>
    <w:r w:rsidRPr="000B3A0F">
      <w:rPr>
        <w:rFonts w:ascii="Arial" w:eastAsia="Times New Roman" w:hAnsi="Arial" w:cs="Times New Roman"/>
        <w:b/>
        <w:sz w:val="18"/>
        <w:szCs w:val="18"/>
        <w:lang w:val="es-ES" w:eastAsia="es-CO" w:bidi="ar-SA"/>
      </w:rPr>
      <w:t xml:space="preserve">                                                                   </w:t>
    </w:r>
    <w:r>
      <w:rPr>
        <w:rFonts w:ascii="Arial" w:eastAsia="Times New Roman" w:hAnsi="Arial" w:cs="Times New Roman"/>
        <w:b/>
        <w:sz w:val="18"/>
        <w:szCs w:val="18"/>
        <w:lang w:val="es-ES" w:eastAsia="es-CO" w:bidi="ar-SA"/>
      </w:rPr>
      <w:t xml:space="preserve">                                     </w:t>
    </w:r>
    <w:r w:rsidR="00E80987">
      <w:rPr>
        <w:rFonts w:ascii="Arial" w:eastAsia="Times New Roman" w:hAnsi="Arial" w:cs="Times New Roman"/>
        <w:b/>
        <w:sz w:val="18"/>
        <w:szCs w:val="18"/>
        <w:lang w:val="es-ES" w:eastAsia="es-CO" w:bidi="ar-SA"/>
      </w:rPr>
      <w:t>Abril</w:t>
    </w:r>
    <w:r>
      <w:rPr>
        <w:rFonts w:ascii="Arial" w:eastAsia="Times New Roman" w:hAnsi="Arial" w:cs="Times New Roman"/>
        <w:b/>
        <w:sz w:val="18"/>
        <w:szCs w:val="18"/>
        <w:lang w:val="es-ES" w:eastAsia="es-CO" w:bidi="ar-SA"/>
      </w:rPr>
      <w:t xml:space="preserve"> de 2021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810" w:rsidP="00BE660C" w14:paraId="50AFA388" w14:textId="77777777">
    <w:pPr>
      <w:tabs>
        <w:tab w:val="center" w:pos="4252"/>
        <w:tab w:val="clear" w:pos="8504"/>
        <w:tab w:val="right" w:pos="8789"/>
      </w:tabs>
      <w:jc w:val="left"/>
      <w:rPr>
        <w:rFonts w:ascii="Arial" w:eastAsia="Times New Roman" w:hAnsi="Arial" w:cs="Times New Roman"/>
        <w:b/>
        <w:sz w:val="18"/>
        <w:szCs w:val="18"/>
        <w:lang w:val="es-ES_tradnl" w:eastAsia="es-CO" w:bidi="ar-SA"/>
      </w:rPr>
    </w:pPr>
    <w:r w:rsidRPr="00492483">
      <w:rPr>
        <w:rFonts w:ascii="Arial" w:eastAsia="Times New Roman" w:hAnsi="Arial" w:cs="Times New Roman"/>
        <w:b/>
        <w:sz w:val="18"/>
        <w:szCs w:val="18"/>
        <w:lang w:val="es-ES_tradnl" w:eastAsia="es-CO" w:bidi="ar-SA"/>
      </w:rPr>
      <w:t xml:space="preserve">PARTE II  TÍTULO IV CAPÍTULO </w:t>
    </w:r>
    <w:r>
      <w:rPr>
        <w:rFonts w:ascii="Arial" w:eastAsia="Times New Roman" w:hAnsi="Arial" w:cs="Times New Roman"/>
        <w:b/>
        <w:sz w:val="18"/>
        <w:szCs w:val="18"/>
        <w:lang w:val="es-ES_tradnl" w:eastAsia="es-CO" w:bidi="ar-SA"/>
      </w:rPr>
      <w:t>II</w:t>
    </w:r>
    <w:r>
      <w:rPr>
        <w:rFonts w:ascii="Arial" w:eastAsia="Times New Roman" w:hAnsi="Arial" w:cs="Times New Roman"/>
        <w:b/>
        <w:sz w:val="18"/>
        <w:szCs w:val="18"/>
        <w:lang w:val="es-ES_tradnl" w:eastAsia="es-CO" w:bidi="ar-SA"/>
      </w:rPr>
      <w:tab/>
    </w:r>
    <w:r>
      <w:rPr>
        <w:rFonts w:ascii="Arial" w:eastAsia="Times New Roman" w:hAnsi="Arial" w:cs="Times New Roman"/>
        <w:b/>
        <w:sz w:val="18"/>
        <w:szCs w:val="18"/>
        <w:lang w:val="es-ES_tradnl" w:eastAsia="es-CO" w:bidi="ar-SA"/>
      </w:rPr>
      <w:tab/>
      <w:t xml:space="preserve">   PÁGINA 17</w:t>
    </w:r>
  </w:p>
  <w:p w:rsidR="00E02810" w:rsidRPr="00492483" w:rsidP="00331C85" w14:paraId="7D217876" w14:textId="7081DF38">
    <w:pPr>
      <w:tabs>
        <w:tab w:val="center" w:pos="4252"/>
        <w:tab w:val="right" w:pos="8504"/>
      </w:tabs>
      <w:jc w:val="left"/>
      <w:rPr>
        <w:rFonts w:ascii="Arial" w:eastAsia="Times New Roman" w:hAnsi="Arial" w:cs="Times New Roman"/>
        <w:b/>
        <w:sz w:val="18"/>
        <w:szCs w:val="18"/>
        <w:lang w:val="es-ES_tradnl" w:eastAsia="es-CO" w:bidi="ar-SA"/>
      </w:rPr>
    </w:pPr>
    <w:r>
      <w:rPr>
        <w:rFonts w:ascii="Arial" w:eastAsia="Times New Roman" w:hAnsi="Arial" w:cs="Times New Roman"/>
        <w:b/>
        <w:sz w:val="18"/>
        <w:szCs w:val="18"/>
        <w:lang w:val="es-ES_tradnl" w:eastAsia="es-CO" w:bidi="ar-SA"/>
      </w:rPr>
      <w:t xml:space="preserve">Circular Externa </w:t>
    </w:r>
    <w:r w:rsidR="00814547">
      <w:rPr>
        <w:rFonts w:ascii="Arial" w:eastAsia="Times New Roman" w:hAnsi="Arial" w:cs="Times New Roman"/>
        <w:b/>
        <w:sz w:val="18"/>
        <w:szCs w:val="18"/>
        <w:lang w:val="es-ES_tradnl" w:eastAsia="es-CO" w:bidi="ar-SA"/>
      </w:rPr>
      <w:t>007</w:t>
    </w:r>
    <w:r>
      <w:rPr>
        <w:rFonts w:ascii="Arial" w:eastAsia="Times New Roman" w:hAnsi="Arial" w:cs="Times New Roman"/>
        <w:b/>
        <w:sz w:val="18"/>
        <w:szCs w:val="18"/>
        <w:lang w:val="es-ES_tradnl" w:eastAsia="es-CO" w:bidi="ar-SA"/>
      </w:rPr>
      <w:t xml:space="preserve"> de 2021</w:t>
    </w:r>
    <w:r>
      <w:rPr>
        <w:rFonts w:ascii="Arial" w:eastAsia="Times New Roman" w:hAnsi="Arial" w:cs="Times New Roman"/>
        <w:b/>
        <w:sz w:val="18"/>
        <w:szCs w:val="18"/>
        <w:lang w:val="es-ES_tradnl" w:eastAsia="es-CO" w:bidi="ar-SA"/>
      </w:rPr>
      <w:tab/>
      <w:t xml:space="preserve">                                                                                                        </w:t>
    </w:r>
    <w:r>
      <w:rPr>
        <w:rFonts w:ascii="Arial" w:eastAsia="Times New Roman" w:hAnsi="Arial" w:cs="Times New Roman"/>
        <w:b/>
        <w:sz w:val="18"/>
        <w:szCs w:val="18"/>
        <w:lang w:val="es-ES_tradnl" w:eastAsia="es-CO" w:bidi="ar-SA"/>
      </w:rPr>
      <w:t>Abril</w:t>
    </w:r>
    <w:r>
      <w:rPr>
        <w:rFonts w:ascii="Arial" w:eastAsia="Times New Roman" w:hAnsi="Arial" w:cs="Times New Roman"/>
        <w:b/>
        <w:sz w:val="18"/>
        <w:szCs w:val="18"/>
        <w:lang w:val="es-ES_tradnl" w:eastAsia="es-CO" w:bidi="ar-SA"/>
      </w:rPr>
      <w:t xml:space="preserve"> de 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21B" w:rsidP="00054624" w14:paraId="2FDCB1CC" w14:textId="77777777">
    <w:pPr>
      <w:pStyle w:val="Header"/>
      <w:jc w:val="center"/>
      <w:rPr>
        <w:b/>
        <w:sz w:val="24"/>
        <w:szCs w:val="24"/>
      </w:rPr>
    </w:pPr>
    <w:r w:rsidRPr="00054624">
      <w:rPr>
        <w:b/>
        <w:sz w:val="24"/>
        <w:szCs w:val="24"/>
      </w:rPr>
      <w:t>SUPERINTENDENCIA FINANCIERA DE COLOMBIA</w:t>
    </w:r>
  </w:p>
  <w:p w:rsidR="00F0621B" w:rsidRPr="00054624" w:rsidP="00054624" w14:paraId="2FDCB1CD" w14:textId="77777777">
    <w:pPr>
      <w:pStyle w:val="Header"/>
      <w:jc w:val="center"/>
      <w:rPr>
        <w:b/>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98D" w:rsidRPr="00222BFB" w:rsidP="00222BFB" w14:paraId="294093A7" w14:textId="77777777">
    <w:pPr>
      <w:pStyle w:val="Header"/>
      <w:jc w:val="center"/>
      <w:rPr>
        <w:b/>
        <w:sz w:val="24"/>
        <w:szCs w:val="24"/>
      </w:rPr>
    </w:pPr>
    <w:r w:rsidRPr="00492483">
      <w:rPr>
        <w:b/>
        <w:sz w:val="24"/>
        <w:szCs w:val="24"/>
      </w:rPr>
      <w:t>SUPERINTENDENCIA FINANCIERA DE COLOMBIA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5391" w:rsidP="00F30E2A" w14:paraId="4A2C39B1" w14:textId="77777777">
    <w:pPr>
      <w:tabs>
        <w:tab w:val="center" w:pos="4419"/>
        <w:tab w:val="right" w:pos="8838"/>
      </w:tabs>
      <w:jc w:val="center"/>
      <w:rPr>
        <w:rFonts w:ascii="Arial" w:eastAsia="Times New Roman" w:hAnsi="Arial" w:cs="Times New Roman"/>
        <w:b/>
        <w:sz w:val="24"/>
        <w:lang w:val="es-ES" w:eastAsia="es-CO" w:bidi="ar-SA"/>
      </w:rPr>
    </w:pPr>
    <w:r w:rsidRPr="00F30E2A">
      <w:rPr>
        <w:rFonts w:ascii="Arial" w:eastAsia="Times New Roman" w:hAnsi="Arial" w:cs="Times New Roman"/>
        <w:b/>
        <w:sz w:val="24"/>
        <w:lang w:val="es-ES" w:eastAsia="es-CO" w:bidi="ar-SA"/>
      </w:rPr>
      <w:t>SUPERINTENDENCIA FINANCIERA DE COLOMBIA</w:t>
    </w:r>
  </w:p>
  <w:p w:rsidR="00595391" w:rsidRPr="00F30E2A" w:rsidP="00F30E2A" w14:paraId="1DAE1272" w14:textId="77777777">
    <w:pPr>
      <w:tabs>
        <w:tab w:val="center" w:pos="4419"/>
        <w:tab w:val="right" w:pos="8838"/>
      </w:tabs>
      <w:jc w:val="center"/>
      <w:rPr>
        <w:rFonts w:ascii="Arial" w:eastAsia="Times New Roman" w:hAnsi="Arial" w:cs="Times New Roman"/>
        <w:b/>
        <w:sz w:val="24"/>
        <w:lang w:val="es-ES" w:eastAsia="es-CO"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5391" w:rsidP="008C3E56" w14:paraId="5FC95333" w14:textId="77777777">
    <w:pPr>
      <w:tabs>
        <w:tab w:val="center" w:pos="4419"/>
        <w:tab w:val="right" w:pos="8838"/>
      </w:tabs>
      <w:jc w:val="center"/>
      <w:rPr>
        <w:rFonts w:ascii="Arial" w:eastAsia="Times New Roman" w:hAnsi="Arial" w:cs="Times New Roman"/>
        <w:b/>
        <w:sz w:val="24"/>
        <w:lang w:val="es-ES" w:eastAsia="es-CO" w:bidi="ar-SA"/>
      </w:rPr>
    </w:pPr>
    <w:r w:rsidRPr="00F30E2A">
      <w:rPr>
        <w:rFonts w:ascii="Arial" w:eastAsia="Times New Roman" w:hAnsi="Arial" w:cs="Times New Roman"/>
        <w:b/>
        <w:sz w:val="24"/>
        <w:lang w:val="es-ES" w:eastAsia="es-CO" w:bidi="ar-SA"/>
      </w:rPr>
      <w:t>SUPERINTENDENCIA FINANCIERA DE COLOMBIA</w:t>
    </w:r>
  </w:p>
  <w:p w:rsidR="00595391" w14:paraId="4989B421" w14:textId="77777777">
    <w:pPr>
      <w:tabs>
        <w:tab w:val="center" w:pos="4419"/>
        <w:tab w:val="right" w:pos="8838"/>
      </w:tabs>
      <w:jc w:val="left"/>
      <w:rPr>
        <w:rFonts w:ascii="Arial" w:eastAsia="Times New Roman" w:hAnsi="Arial" w:cs="Times New Roman"/>
        <w:sz w:val="24"/>
        <w:lang w:val="es-ES" w:eastAsia="es-CO" w:bidi="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5391" w:rsidP="008C3E56" w14:paraId="48C1BE70" w14:textId="77777777">
    <w:pPr>
      <w:tabs>
        <w:tab w:val="center" w:pos="4419"/>
        <w:tab w:val="right" w:pos="8838"/>
      </w:tabs>
      <w:jc w:val="center"/>
      <w:rPr>
        <w:rFonts w:ascii="Arial" w:eastAsia="Times New Roman" w:hAnsi="Arial" w:cs="Times New Roman"/>
        <w:b/>
        <w:sz w:val="24"/>
        <w:lang w:val="es-ES" w:eastAsia="es-CO" w:bidi="ar-SA"/>
      </w:rPr>
    </w:pPr>
    <w:r w:rsidRPr="00F30E2A">
      <w:rPr>
        <w:rFonts w:ascii="Arial" w:eastAsia="Times New Roman" w:hAnsi="Arial" w:cs="Times New Roman"/>
        <w:b/>
        <w:sz w:val="24"/>
        <w:lang w:val="es-ES" w:eastAsia="es-CO" w:bidi="ar-SA"/>
      </w:rPr>
      <w:t>SUPERINTENDENCIA FINANCIERA DE COLOMBIA</w:t>
    </w:r>
  </w:p>
  <w:p w:rsidR="00595391" w:rsidRPr="00CB513A" w14:paraId="4BB39AD0" w14:textId="77777777">
    <w:pPr>
      <w:tabs>
        <w:tab w:val="center" w:pos="4419"/>
        <w:tab w:val="right" w:pos="8838"/>
      </w:tabs>
      <w:jc w:val="left"/>
      <w:rPr>
        <w:rFonts w:ascii="Arial" w:eastAsia="Times New Roman" w:hAnsi="Arial" w:cs="Times New Roman"/>
        <w:sz w:val="18"/>
        <w:lang w:val="es-ES" w:eastAsia="es-CO" w:bidi="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810" w:rsidP="00492483" w14:paraId="1C0E1955" w14:textId="77777777">
    <w:pPr>
      <w:tabs>
        <w:tab w:val="center" w:pos="4419"/>
        <w:tab w:val="right" w:pos="8838"/>
      </w:tabs>
      <w:jc w:val="center"/>
      <w:rPr>
        <w:rFonts w:ascii="Arial" w:eastAsia="Times New Roman" w:hAnsi="Arial" w:cs="Times New Roman"/>
        <w:b/>
        <w:sz w:val="24"/>
        <w:szCs w:val="24"/>
        <w:lang w:val="es-ES_tradnl" w:eastAsia="es-CO" w:bidi="ar-SA"/>
      </w:rPr>
    </w:pPr>
    <w:r w:rsidRPr="00492483">
      <w:rPr>
        <w:rFonts w:ascii="Arial" w:eastAsia="Times New Roman" w:hAnsi="Arial" w:cs="Times New Roman"/>
        <w:b/>
        <w:sz w:val="24"/>
        <w:szCs w:val="24"/>
        <w:lang w:val="es-ES_tradnl" w:eastAsia="es-CO" w:bidi="ar-SA"/>
      </w:rPr>
      <w:t>SUPERINTENDENCIA FINANCIERA DE COLOMBIA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810" w:rsidP="00FD466C" w14:paraId="7F451856" w14:textId="77777777">
    <w:pPr>
      <w:tabs>
        <w:tab w:val="center" w:pos="4419"/>
        <w:tab w:val="right" w:pos="8838"/>
      </w:tabs>
      <w:jc w:val="center"/>
      <w:rPr>
        <w:rFonts w:ascii="Arial" w:eastAsia="Times New Roman" w:hAnsi="Arial" w:cs="Times New Roman"/>
        <w:b/>
        <w:sz w:val="24"/>
        <w:szCs w:val="24"/>
        <w:lang w:val="es-ES_tradnl" w:eastAsia="es-CO" w:bidi="ar-SA"/>
      </w:rPr>
    </w:pPr>
    <w:r w:rsidRPr="00492483">
      <w:rPr>
        <w:rFonts w:ascii="Arial" w:eastAsia="Times New Roman" w:hAnsi="Arial" w:cs="Times New Roman"/>
        <w:b/>
        <w:sz w:val="24"/>
        <w:szCs w:val="24"/>
        <w:lang w:val="es-ES_tradnl" w:eastAsia="es-CO" w:bidi="ar-SA"/>
      </w:rPr>
      <w:t>SUPERINTENDENCIA FINANCIERA DE COLOMBIA</w:t>
    </w:r>
  </w:p>
  <w:p w:rsidR="00E02810" w14:paraId="18C38F89" w14:textId="77777777">
    <w:pPr>
      <w:tabs>
        <w:tab w:val="center" w:pos="4419"/>
        <w:tab w:val="right" w:pos="8838"/>
      </w:tabs>
      <w:jc w:val="both"/>
      <w:rPr>
        <w:rFonts w:ascii="Arial" w:eastAsia="Times New Roman" w:hAnsi="Arial" w:cs="Times New Roman"/>
        <w:sz w:val="20"/>
        <w:lang w:val="es-ES_tradnl" w:eastAsia="es-CO" w:bidi="ar-S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98D" w:rsidP="00222BFB" w14:paraId="23180BAB" w14:textId="77777777">
    <w:pPr>
      <w:pStyle w:val="Header"/>
      <w:jc w:val="center"/>
    </w:pPr>
    <w:r w:rsidRPr="00492483">
      <w:rPr>
        <w:b/>
        <w:sz w:val="24"/>
        <w:szCs w:val="24"/>
      </w:rPr>
      <w:t>SUPERINTENDENCIA FINANCIERA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95AEA58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87033F6"/>
    <w:multiLevelType w:val="multilevel"/>
    <w:tmpl w:val="A3F8DBB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nsid w:val="62F22BB5"/>
    <w:multiLevelType w:val="hybridMultilevel"/>
    <w:tmpl w:val="DCDC5D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3A"/>
    <w:rsid w:val="00000BD9"/>
    <w:rsid w:val="00001407"/>
    <w:rsid w:val="0000219C"/>
    <w:rsid w:val="000046EF"/>
    <w:rsid w:val="00005141"/>
    <w:rsid w:val="00006221"/>
    <w:rsid w:val="00006B10"/>
    <w:rsid w:val="00007201"/>
    <w:rsid w:val="00010C15"/>
    <w:rsid w:val="00010D10"/>
    <w:rsid w:val="0001202C"/>
    <w:rsid w:val="00017C0A"/>
    <w:rsid w:val="0002044E"/>
    <w:rsid w:val="000214EA"/>
    <w:rsid w:val="000233E2"/>
    <w:rsid w:val="00023B92"/>
    <w:rsid w:val="00023C08"/>
    <w:rsid w:val="0004021A"/>
    <w:rsid w:val="00045FBF"/>
    <w:rsid w:val="00046991"/>
    <w:rsid w:val="000469BA"/>
    <w:rsid w:val="000506D4"/>
    <w:rsid w:val="0005333B"/>
    <w:rsid w:val="000539A4"/>
    <w:rsid w:val="00054624"/>
    <w:rsid w:val="00056287"/>
    <w:rsid w:val="000564F1"/>
    <w:rsid w:val="00056F77"/>
    <w:rsid w:val="000570F3"/>
    <w:rsid w:val="00060A2B"/>
    <w:rsid w:val="00060D2B"/>
    <w:rsid w:val="00064AC2"/>
    <w:rsid w:val="0007023B"/>
    <w:rsid w:val="000707CD"/>
    <w:rsid w:val="00071C25"/>
    <w:rsid w:val="000722E1"/>
    <w:rsid w:val="0007487A"/>
    <w:rsid w:val="00075D85"/>
    <w:rsid w:val="00075DEC"/>
    <w:rsid w:val="00076D20"/>
    <w:rsid w:val="0008034C"/>
    <w:rsid w:val="0008386C"/>
    <w:rsid w:val="00083DA7"/>
    <w:rsid w:val="000841D2"/>
    <w:rsid w:val="00087DFF"/>
    <w:rsid w:val="00090F69"/>
    <w:rsid w:val="0009313D"/>
    <w:rsid w:val="00097F26"/>
    <w:rsid w:val="000A3123"/>
    <w:rsid w:val="000A549E"/>
    <w:rsid w:val="000A5D3D"/>
    <w:rsid w:val="000A6398"/>
    <w:rsid w:val="000A6DA2"/>
    <w:rsid w:val="000B316E"/>
    <w:rsid w:val="000B3A0F"/>
    <w:rsid w:val="000B4ACD"/>
    <w:rsid w:val="000B5428"/>
    <w:rsid w:val="000B6816"/>
    <w:rsid w:val="000B78E4"/>
    <w:rsid w:val="000C1AB8"/>
    <w:rsid w:val="000C531B"/>
    <w:rsid w:val="000C5899"/>
    <w:rsid w:val="000C5E81"/>
    <w:rsid w:val="000D0C03"/>
    <w:rsid w:val="000D0E52"/>
    <w:rsid w:val="000D15E4"/>
    <w:rsid w:val="000D240C"/>
    <w:rsid w:val="000D40BD"/>
    <w:rsid w:val="000D62A2"/>
    <w:rsid w:val="000E3097"/>
    <w:rsid w:val="000E34D3"/>
    <w:rsid w:val="000E47CE"/>
    <w:rsid w:val="000E4BB3"/>
    <w:rsid w:val="000E4C1F"/>
    <w:rsid w:val="000E6102"/>
    <w:rsid w:val="000F008E"/>
    <w:rsid w:val="000F0A52"/>
    <w:rsid w:val="000F0C19"/>
    <w:rsid w:val="000F171E"/>
    <w:rsid w:val="000F32D2"/>
    <w:rsid w:val="000F365A"/>
    <w:rsid w:val="000F4C38"/>
    <w:rsid w:val="000F4DD0"/>
    <w:rsid w:val="000F543A"/>
    <w:rsid w:val="000F6C3B"/>
    <w:rsid w:val="00100308"/>
    <w:rsid w:val="0010135A"/>
    <w:rsid w:val="00102DCC"/>
    <w:rsid w:val="00103486"/>
    <w:rsid w:val="00104DBC"/>
    <w:rsid w:val="00105F02"/>
    <w:rsid w:val="0010752E"/>
    <w:rsid w:val="00107551"/>
    <w:rsid w:val="001103B8"/>
    <w:rsid w:val="00110400"/>
    <w:rsid w:val="00110409"/>
    <w:rsid w:val="001108B1"/>
    <w:rsid w:val="00111A94"/>
    <w:rsid w:val="00112228"/>
    <w:rsid w:val="00112FD8"/>
    <w:rsid w:val="00113F14"/>
    <w:rsid w:val="00115FCD"/>
    <w:rsid w:val="00117B39"/>
    <w:rsid w:val="00120A90"/>
    <w:rsid w:val="00122420"/>
    <w:rsid w:val="00124C5D"/>
    <w:rsid w:val="00125158"/>
    <w:rsid w:val="001251D6"/>
    <w:rsid w:val="00130C68"/>
    <w:rsid w:val="0013180A"/>
    <w:rsid w:val="00132794"/>
    <w:rsid w:val="0013281D"/>
    <w:rsid w:val="00133348"/>
    <w:rsid w:val="001346FF"/>
    <w:rsid w:val="001357C8"/>
    <w:rsid w:val="00135808"/>
    <w:rsid w:val="001365D1"/>
    <w:rsid w:val="001372D9"/>
    <w:rsid w:val="001374AE"/>
    <w:rsid w:val="00140C5B"/>
    <w:rsid w:val="0014143F"/>
    <w:rsid w:val="00142293"/>
    <w:rsid w:val="001424B3"/>
    <w:rsid w:val="00144CAD"/>
    <w:rsid w:val="00145D48"/>
    <w:rsid w:val="001461AE"/>
    <w:rsid w:val="001462C5"/>
    <w:rsid w:val="00150E66"/>
    <w:rsid w:val="00152193"/>
    <w:rsid w:val="00154E41"/>
    <w:rsid w:val="00157842"/>
    <w:rsid w:val="00162DF4"/>
    <w:rsid w:val="001673A9"/>
    <w:rsid w:val="00171223"/>
    <w:rsid w:val="00172648"/>
    <w:rsid w:val="00172655"/>
    <w:rsid w:val="001737F7"/>
    <w:rsid w:val="00173C14"/>
    <w:rsid w:val="00174949"/>
    <w:rsid w:val="001801A1"/>
    <w:rsid w:val="001835B2"/>
    <w:rsid w:val="00184895"/>
    <w:rsid w:val="00184D75"/>
    <w:rsid w:val="00185111"/>
    <w:rsid w:val="0019121E"/>
    <w:rsid w:val="001930E0"/>
    <w:rsid w:val="00194F69"/>
    <w:rsid w:val="00195D39"/>
    <w:rsid w:val="0019681A"/>
    <w:rsid w:val="001972DC"/>
    <w:rsid w:val="001A11E3"/>
    <w:rsid w:val="001A1A3B"/>
    <w:rsid w:val="001A453B"/>
    <w:rsid w:val="001A4BF9"/>
    <w:rsid w:val="001A4EAB"/>
    <w:rsid w:val="001B04A1"/>
    <w:rsid w:val="001B2341"/>
    <w:rsid w:val="001B266C"/>
    <w:rsid w:val="001C0EE5"/>
    <w:rsid w:val="001C1169"/>
    <w:rsid w:val="001C189D"/>
    <w:rsid w:val="001C28EF"/>
    <w:rsid w:val="001C6EAB"/>
    <w:rsid w:val="001D293F"/>
    <w:rsid w:val="001D3456"/>
    <w:rsid w:val="001D4B08"/>
    <w:rsid w:val="001D5367"/>
    <w:rsid w:val="001E05CD"/>
    <w:rsid w:val="001E274F"/>
    <w:rsid w:val="001E410C"/>
    <w:rsid w:val="001E7C54"/>
    <w:rsid w:val="001F050D"/>
    <w:rsid w:val="001F0E48"/>
    <w:rsid w:val="001F1672"/>
    <w:rsid w:val="001F2DDB"/>
    <w:rsid w:val="001F47EB"/>
    <w:rsid w:val="001F5E08"/>
    <w:rsid w:val="0020340C"/>
    <w:rsid w:val="0020409F"/>
    <w:rsid w:val="00204AEB"/>
    <w:rsid w:val="002056AC"/>
    <w:rsid w:val="00207BFD"/>
    <w:rsid w:val="00212ECA"/>
    <w:rsid w:val="0021589F"/>
    <w:rsid w:val="00217E38"/>
    <w:rsid w:val="00220B4A"/>
    <w:rsid w:val="00220FA2"/>
    <w:rsid w:val="00222724"/>
    <w:rsid w:val="00222BFB"/>
    <w:rsid w:val="00223065"/>
    <w:rsid w:val="0022441D"/>
    <w:rsid w:val="00226620"/>
    <w:rsid w:val="002270EB"/>
    <w:rsid w:val="00232110"/>
    <w:rsid w:val="00232CAB"/>
    <w:rsid w:val="0023482A"/>
    <w:rsid w:val="00237889"/>
    <w:rsid w:val="00237DC8"/>
    <w:rsid w:val="00240878"/>
    <w:rsid w:val="0024101A"/>
    <w:rsid w:val="00242421"/>
    <w:rsid w:val="002429DC"/>
    <w:rsid w:val="00243283"/>
    <w:rsid w:val="00244DA4"/>
    <w:rsid w:val="00252A2F"/>
    <w:rsid w:val="00252E98"/>
    <w:rsid w:val="0025389A"/>
    <w:rsid w:val="00254AB0"/>
    <w:rsid w:val="00254BA7"/>
    <w:rsid w:val="002562F2"/>
    <w:rsid w:val="0026200B"/>
    <w:rsid w:val="0026428D"/>
    <w:rsid w:val="00264315"/>
    <w:rsid w:val="00264A76"/>
    <w:rsid w:val="00264C25"/>
    <w:rsid w:val="00265607"/>
    <w:rsid w:val="00266ABE"/>
    <w:rsid w:val="002670BA"/>
    <w:rsid w:val="002715A5"/>
    <w:rsid w:val="00271F38"/>
    <w:rsid w:val="00275AE5"/>
    <w:rsid w:val="00275C2E"/>
    <w:rsid w:val="00280510"/>
    <w:rsid w:val="002842A3"/>
    <w:rsid w:val="002849ED"/>
    <w:rsid w:val="0029050C"/>
    <w:rsid w:val="0029077D"/>
    <w:rsid w:val="00292985"/>
    <w:rsid w:val="0029376D"/>
    <w:rsid w:val="002947BB"/>
    <w:rsid w:val="00297166"/>
    <w:rsid w:val="00297B5A"/>
    <w:rsid w:val="002A0C2B"/>
    <w:rsid w:val="002A1118"/>
    <w:rsid w:val="002A1224"/>
    <w:rsid w:val="002A1399"/>
    <w:rsid w:val="002A22D6"/>
    <w:rsid w:val="002A309C"/>
    <w:rsid w:val="002A5145"/>
    <w:rsid w:val="002A5D10"/>
    <w:rsid w:val="002B35F8"/>
    <w:rsid w:val="002C1249"/>
    <w:rsid w:val="002C1425"/>
    <w:rsid w:val="002C277B"/>
    <w:rsid w:val="002C2906"/>
    <w:rsid w:val="002C4FEB"/>
    <w:rsid w:val="002C7DF5"/>
    <w:rsid w:val="002D0662"/>
    <w:rsid w:val="002D3770"/>
    <w:rsid w:val="002D44B5"/>
    <w:rsid w:val="002D4510"/>
    <w:rsid w:val="002D5C73"/>
    <w:rsid w:val="002E0FF9"/>
    <w:rsid w:val="002E1A17"/>
    <w:rsid w:val="002E2085"/>
    <w:rsid w:val="002E2187"/>
    <w:rsid w:val="002E4DC8"/>
    <w:rsid w:val="002E5DBF"/>
    <w:rsid w:val="002E7466"/>
    <w:rsid w:val="002E748D"/>
    <w:rsid w:val="002F0A6A"/>
    <w:rsid w:val="002F0F9D"/>
    <w:rsid w:val="002F37D1"/>
    <w:rsid w:val="002F57EE"/>
    <w:rsid w:val="002F66A2"/>
    <w:rsid w:val="002F6C3C"/>
    <w:rsid w:val="002F744C"/>
    <w:rsid w:val="00300AD6"/>
    <w:rsid w:val="003014E3"/>
    <w:rsid w:val="00302019"/>
    <w:rsid w:val="003031DF"/>
    <w:rsid w:val="00304844"/>
    <w:rsid w:val="0031355A"/>
    <w:rsid w:val="003135BD"/>
    <w:rsid w:val="003174D4"/>
    <w:rsid w:val="003178DD"/>
    <w:rsid w:val="00322397"/>
    <w:rsid w:val="003223DF"/>
    <w:rsid w:val="0032552C"/>
    <w:rsid w:val="00326F39"/>
    <w:rsid w:val="00327ACE"/>
    <w:rsid w:val="00327DCD"/>
    <w:rsid w:val="003309B4"/>
    <w:rsid w:val="003315E0"/>
    <w:rsid w:val="00331AA5"/>
    <w:rsid w:val="00331B68"/>
    <w:rsid w:val="00331C85"/>
    <w:rsid w:val="00337367"/>
    <w:rsid w:val="00340007"/>
    <w:rsid w:val="0034056F"/>
    <w:rsid w:val="00341DB3"/>
    <w:rsid w:val="0034328F"/>
    <w:rsid w:val="003469EF"/>
    <w:rsid w:val="00347035"/>
    <w:rsid w:val="00351359"/>
    <w:rsid w:val="00351969"/>
    <w:rsid w:val="00351E2C"/>
    <w:rsid w:val="00352AAA"/>
    <w:rsid w:val="00352CF4"/>
    <w:rsid w:val="00353900"/>
    <w:rsid w:val="00355608"/>
    <w:rsid w:val="00356881"/>
    <w:rsid w:val="003643B8"/>
    <w:rsid w:val="00366601"/>
    <w:rsid w:val="003671C5"/>
    <w:rsid w:val="003677DA"/>
    <w:rsid w:val="0037030B"/>
    <w:rsid w:val="00372447"/>
    <w:rsid w:val="00375C6F"/>
    <w:rsid w:val="00377095"/>
    <w:rsid w:val="0037737D"/>
    <w:rsid w:val="00380D71"/>
    <w:rsid w:val="00383CB6"/>
    <w:rsid w:val="00385509"/>
    <w:rsid w:val="003856E5"/>
    <w:rsid w:val="00386E36"/>
    <w:rsid w:val="00387E48"/>
    <w:rsid w:val="0039193F"/>
    <w:rsid w:val="003949DD"/>
    <w:rsid w:val="003961A4"/>
    <w:rsid w:val="003963C9"/>
    <w:rsid w:val="003A107E"/>
    <w:rsid w:val="003A1383"/>
    <w:rsid w:val="003A46FE"/>
    <w:rsid w:val="003A5DBE"/>
    <w:rsid w:val="003A6296"/>
    <w:rsid w:val="003B004A"/>
    <w:rsid w:val="003B08F1"/>
    <w:rsid w:val="003B1B7F"/>
    <w:rsid w:val="003B2AE7"/>
    <w:rsid w:val="003B2B17"/>
    <w:rsid w:val="003B703E"/>
    <w:rsid w:val="003C1294"/>
    <w:rsid w:val="003C6DDB"/>
    <w:rsid w:val="003D0183"/>
    <w:rsid w:val="003D1299"/>
    <w:rsid w:val="003D1446"/>
    <w:rsid w:val="003D1571"/>
    <w:rsid w:val="003D3132"/>
    <w:rsid w:val="003D53F5"/>
    <w:rsid w:val="003E0155"/>
    <w:rsid w:val="003E4614"/>
    <w:rsid w:val="003E4FD0"/>
    <w:rsid w:val="003E515E"/>
    <w:rsid w:val="003E6F80"/>
    <w:rsid w:val="003E70FB"/>
    <w:rsid w:val="003E758D"/>
    <w:rsid w:val="003F1B0B"/>
    <w:rsid w:val="003F1FE8"/>
    <w:rsid w:val="003F3BE0"/>
    <w:rsid w:val="003F3F95"/>
    <w:rsid w:val="003F50C4"/>
    <w:rsid w:val="003F5192"/>
    <w:rsid w:val="003F5BEA"/>
    <w:rsid w:val="003F6777"/>
    <w:rsid w:val="003F7BC7"/>
    <w:rsid w:val="003F7EAD"/>
    <w:rsid w:val="0040128A"/>
    <w:rsid w:val="00404EF9"/>
    <w:rsid w:val="004073AC"/>
    <w:rsid w:val="004073D7"/>
    <w:rsid w:val="0040777B"/>
    <w:rsid w:val="004167F0"/>
    <w:rsid w:val="004168F8"/>
    <w:rsid w:val="004202C9"/>
    <w:rsid w:val="004204B8"/>
    <w:rsid w:val="0042686E"/>
    <w:rsid w:val="00427B95"/>
    <w:rsid w:val="004375B5"/>
    <w:rsid w:val="00437C18"/>
    <w:rsid w:val="0044024D"/>
    <w:rsid w:val="00440D5E"/>
    <w:rsid w:val="00440DC4"/>
    <w:rsid w:val="0044398D"/>
    <w:rsid w:val="004440DF"/>
    <w:rsid w:val="00446C7F"/>
    <w:rsid w:val="00447443"/>
    <w:rsid w:val="004475F9"/>
    <w:rsid w:val="00451500"/>
    <w:rsid w:val="00451568"/>
    <w:rsid w:val="004523F8"/>
    <w:rsid w:val="0045411D"/>
    <w:rsid w:val="004544FD"/>
    <w:rsid w:val="00455748"/>
    <w:rsid w:val="004565C5"/>
    <w:rsid w:val="00456ADE"/>
    <w:rsid w:val="00467017"/>
    <w:rsid w:val="00470CAB"/>
    <w:rsid w:val="00471512"/>
    <w:rsid w:val="00471B03"/>
    <w:rsid w:val="00472D15"/>
    <w:rsid w:val="004736B0"/>
    <w:rsid w:val="0047617B"/>
    <w:rsid w:val="004840A5"/>
    <w:rsid w:val="004841DB"/>
    <w:rsid w:val="004902D6"/>
    <w:rsid w:val="00490E4A"/>
    <w:rsid w:val="00492483"/>
    <w:rsid w:val="00493774"/>
    <w:rsid w:val="00494FCD"/>
    <w:rsid w:val="004966AA"/>
    <w:rsid w:val="004A1505"/>
    <w:rsid w:val="004A1629"/>
    <w:rsid w:val="004A39FB"/>
    <w:rsid w:val="004A42C4"/>
    <w:rsid w:val="004A4FC0"/>
    <w:rsid w:val="004A60F0"/>
    <w:rsid w:val="004A66D8"/>
    <w:rsid w:val="004A6B7E"/>
    <w:rsid w:val="004A6D9A"/>
    <w:rsid w:val="004B04DA"/>
    <w:rsid w:val="004B074F"/>
    <w:rsid w:val="004B0BE8"/>
    <w:rsid w:val="004B7F0E"/>
    <w:rsid w:val="004C0302"/>
    <w:rsid w:val="004C0B36"/>
    <w:rsid w:val="004C3568"/>
    <w:rsid w:val="004C67AC"/>
    <w:rsid w:val="004C6983"/>
    <w:rsid w:val="004C77BD"/>
    <w:rsid w:val="004D098E"/>
    <w:rsid w:val="004D1F91"/>
    <w:rsid w:val="004D4B12"/>
    <w:rsid w:val="004D7051"/>
    <w:rsid w:val="004D7A81"/>
    <w:rsid w:val="004D7B4C"/>
    <w:rsid w:val="004E1588"/>
    <w:rsid w:val="004E17EA"/>
    <w:rsid w:val="004E3404"/>
    <w:rsid w:val="004E4B1C"/>
    <w:rsid w:val="004F22ED"/>
    <w:rsid w:val="004F3A86"/>
    <w:rsid w:val="004F6319"/>
    <w:rsid w:val="004F6C69"/>
    <w:rsid w:val="00501399"/>
    <w:rsid w:val="00501947"/>
    <w:rsid w:val="00502DE4"/>
    <w:rsid w:val="00504EAF"/>
    <w:rsid w:val="005077C2"/>
    <w:rsid w:val="005121EB"/>
    <w:rsid w:val="00512403"/>
    <w:rsid w:val="00513EBA"/>
    <w:rsid w:val="00515083"/>
    <w:rsid w:val="00516A92"/>
    <w:rsid w:val="00516E6A"/>
    <w:rsid w:val="00516ED3"/>
    <w:rsid w:val="005204DA"/>
    <w:rsid w:val="00520C61"/>
    <w:rsid w:val="00521FF3"/>
    <w:rsid w:val="0052281E"/>
    <w:rsid w:val="0052583B"/>
    <w:rsid w:val="00526915"/>
    <w:rsid w:val="00530141"/>
    <w:rsid w:val="0053240D"/>
    <w:rsid w:val="00533F43"/>
    <w:rsid w:val="005343E6"/>
    <w:rsid w:val="00535C08"/>
    <w:rsid w:val="00535E33"/>
    <w:rsid w:val="00535EAB"/>
    <w:rsid w:val="00542F90"/>
    <w:rsid w:val="00543356"/>
    <w:rsid w:val="00543791"/>
    <w:rsid w:val="005437F7"/>
    <w:rsid w:val="00544E76"/>
    <w:rsid w:val="005466F0"/>
    <w:rsid w:val="0054788F"/>
    <w:rsid w:val="00550DF9"/>
    <w:rsid w:val="00552F56"/>
    <w:rsid w:val="00552FF6"/>
    <w:rsid w:val="00556D6D"/>
    <w:rsid w:val="00560BAF"/>
    <w:rsid w:val="00560D2E"/>
    <w:rsid w:val="0056115F"/>
    <w:rsid w:val="00563981"/>
    <w:rsid w:val="005650AF"/>
    <w:rsid w:val="00570962"/>
    <w:rsid w:val="00572D8C"/>
    <w:rsid w:val="005734D9"/>
    <w:rsid w:val="00575CAD"/>
    <w:rsid w:val="0057614D"/>
    <w:rsid w:val="00582FCC"/>
    <w:rsid w:val="0058330E"/>
    <w:rsid w:val="005833E7"/>
    <w:rsid w:val="005864C1"/>
    <w:rsid w:val="0059227A"/>
    <w:rsid w:val="00595391"/>
    <w:rsid w:val="005953F6"/>
    <w:rsid w:val="00595B81"/>
    <w:rsid w:val="005974F4"/>
    <w:rsid w:val="005A088C"/>
    <w:rsid w:val="005A0C12"/>
    <w:rsid w:val="005A0CC3"/>
    <w:rsid w:val="005A0DC5"/>
    <w:rsid w:val="005A2B59"/>
    <w:rsid w:val="005A4B59"/>
    <w:rsid w:val="005A52BD"/>
    <w:rsid w:val="005A7161"/>
    <w:rsid w:val="005A7486"/>
    <w:rsid w:val="005B48C9"/>
    <w:rsid w:val="005B54DC"/>
    <w:rsid w:val="005B5CE5"/>
    <w:rsid w:val="005B5E0D"/>
    <w:rsid w:val="005C0843"/>
    <w:rsid w:val="005C0EC1"/>
    <w:rsid w:val="005C1DF9"/>
    <w:rsid w:val="005C325A"/>
    <w:rsid w:val="005C3B31"/>
    <w:rsid w:val="005C683B"/>
    <w:rsid w:val="005D08D3"/>
    <w:rsid w:val="005D139D"/>
    <w:rsid w:val="005D52B5"/>
    <w:rsid w:val="005D5E5E"/>
    <w:rsid w:val="005E0505"/>
    <w:rsid w:val="005E2D72"/>
    <w:rsid w:val="005E3067"/>
    <w:rsid w:val="005E4BE4"/>
    <w:rsid w:val="005E7913"/>
    <w:rsid w:val="005F1050"/>
    <w:rsid w:val="005F20CF"/>
    <w:rsid w:val="005F2247"/>
    <w:rsid w:val="005F4E1A"/>
    <w:rsid w:val="005F7B34"/>
    <w:rsid w:val="005F7E68"/>
    <w:rsid w:val="006022CA"/>
    <w:rsid w:val="0060272F"/>
    <w:rsid w:val="00607CAD"/>
    <w:rsid w:val="00610FFE"/>
    <w:rsid w:val="00612063"/>
    <w:rsid w:val="006139AC"/>
    <w:rsid w:val="00617ED3"/>
    <w:rsid w:val="00620326"/>
    <w:rsid w:val="00624792"/>
    <w:rsid w:val="0063071A"/>
    <w:rsid w:val="0063247D"/>
    <w:rsid w:val="0063268D"/>
    <w:rsid w:val="00632C20"/>
    <w:rsid w:val="006337B6"/>
    <w:rsid w:val="0063626E"/>
    <w:rsid w:val="00637CC7"/>
    <w:rsid w:val="00640F39"/>
    <w:rsid w:val="0064250F"/>
    <w:rsid w:val="006521F4"/>
    <w:rsid w:val="00652BF0"/>
    <w:rsid w:val="0065452D"/>
    <w:rsid w:val="00655B31"/>
    <w:rsid w:val="00657A50"/>
    <w:rsid w:val="00657F1D"/>
    <w:rsid w:val="0065FD5E"/>
    <w:rsid w:val="006610B0"/>
    <w:rsid w:val="00662636"/>
    <w:rsid w:val="006627C5"/>
    <w:rsid w:val="006656AB"/>
    <w:rsid w:val="00665DC2"/>
    <w:rsid w:val="00667000"/>
    <w:rsid w:val="00671E30"/>
    <w:rsid w:val="0067250A"/>
    <w:rsid w:val="00673F4D"/>
    <w:rsid w:val="0067442B"/>
    <w:rsid w:val="006762FB"/>
    <w:rsid w:val="00676EDE"/>
    <w:rsid w:val="006778BF"/>
    <w:rsid w:val="00677E90"/>
    <w:rsid w:val="006822C4"/>
    <w:rsid w:val="0068273A"/>
    <w:rsid w:val="0068281D"/>
    <w:rsid w:val="00682C00"/>
    <w:rsid w:val="00684B04"/>
    <w:rsid w:val="006864B1"/>
    <w:rsid w:val="00686A8B"/>
    <w:rsid w:val="00690411"/>
    <w:rsid w:val="00695806"/>
    <w:rsid w:val="00695C9F"/>
    <w:rsid w:val="00696A97"/>
    <w:rsid w:val="006A0DBE"/>
    <w:rsid w:val="006A197C"/>
    <w:rsid w:val="006A20AF"/>
    <w:rsid w:val="006A23E8"/>
    <w:rsid w:val="006A34B4"/>
    <w:rsid w:val="006A3DC1"/>
    <w:rsid w:val="006A4ADF"/>
    <w:rsid w:val="006A52C1"/>
    <w:rsid w:val="006A55EF"/>
    <w:rsid w:val="006B0511"/>
    <w:rsid w:val="006B0816"/>
    <w:rsid w:val="006B0DA0"/>
    <w:rsid w:val="006B22F4"/>
    <w:rsid w:val="006B6D26"/>
    <w:rsid w:val="006B6F38"/>
    <w:rsid w:val="006B7033"/>
    <w:rsid w:val="006C0FF2"/>
    <w:rsid w:val="006C1477"/>
    <w:rsid w:val="006C1502"/>
    <w:rsid w:val="006C190F"/>
    <w:rsid w:val="006C208C"/>
    <w:rsid w:val="006D0CED"/>
    <w:rsid w:val="006D1EC4"/>
    <w:rsid w:val="006D27D3"/>
    <w:rsid w:val="006D3075"/>
    <w:rsid w:val="006D32E5"/>
    <w:rsid w:val="006D391F"/>
    <w:rsid w:val="006D4C95"/>
    <w:rsid w:val="006D59C9"/>
    <w:rsid w:val="006D625B"/>
    <w:rsid w:val="006E17C0"/>
    <w:rsid w:val="006E1ACD"/>
    <w:rsid w:val="006E37A7"/>
    <w:rsid w:val="006E3E2A"/>
    <w:rsid w:val="006E4B91"/>
    <w:rsid w:val="006E4DF2"/>
    <w:rsid w:val="006E598E"/>
    <w:rsid w:val="006E5A0A"/>
    <w:rsid w:val="006E76C8"/>
    <w:rsid w:val="006E7ECC"/>
    <w:rsid w:val="006F093E"/>
    <w:rsid w:val="006F59BD"/>
    <w:rsid w:val="00700D0B"/>
    <w:rsid w:val="00703AF0"/>
    <w:rsid w:val="007046D9"/>
    <w:rsid w:val="00706EAD"/>
    <w:rsid w:val="00707167"/>
    <w:rsid w:val="007101E3"/>
    <w:rsid w:val="0071415A"/>
    <w:rsid w:val="007179CC"/>
    <w:rsid w:val="00723708"/>
    <w:rsid w:val="00727B37"/>
    <w:rsid w:val="00727EDD"/>
    <w:rsid w:val="0073025B"/>
    <w:rsid w:val="007305CD"/>
    <w:rsid w:val="007309CC"/>
    <w:rsid w:val="007319FB"/>
    <w:rsid w:val="00732DDF"/>
    <w:rsid w:val="00733C6A"/>
    <w:rsid w:val="00735D83"/>
    <w:rsid w:val="00737446"/>
    <w:rsid w:val="00741626"/>
    <w:rsid w:val="00742051"/>
    <w:rsid w:val="0074661D"/>
    <w:rsid w:val="00747FF3"/>
    <w:rsid w:val="0075232D"/>
    <w:rsid w:val="0075303F"/>
    <w:rsid w:val="00754C78"/>
    <w:rsid w:val="00755F86"/>
    <w:rsid w:val="00756E71"/>
    <w:rsid w:val="007573C5"/>
    <w:rsid w:val="00763B8D"/>
    <w:rsid w:val="007640B9"/>
    <w:rsid w:val="007656FF"/>
    <w:rsid w:val="0077001E"/>
    <w:rsid w:val="0077116E"/>
    <w:rsid w:val="00773811"/>
    <w:rsid w:val="00776FFC"/>
    <w:rsid w:val="00777E52"/>
    <w:rsid w:val="007827AA"/>
    <w:rsid w:val="00783C2C"/>
    <w:rsid w:val="007843ED"/>
    <w:rsid w:val="00784A70"/>
    <w:rsid w:val="00787029"/>
    <w:rsid w:val="00787681"/>
    <w:rsid w:val="00790698"/>
    <w:rsid w:val="00790FD1"/>
    <w:rsid w:val="00792701"/>
    <w:rsid w:val="00792ABE"/>
    <w:rsid w:val="00792CF6"/>
    <w:rsid w:val="007A040A"/>
    <w:rsid w:val="007A0E11"/>
    <w:rsid w:val="007A1742"/>
    <w:rsid w:val="007A2A6A"/>
    <w:rsid w:val="007A2DEC"/>
    <w:rsid w:val="007A2F0D"/>
    <w:rsid w:val="007A328C"/>
    <w:rsid w:val="007A3F79"/>
    <w:rsid w:val="007A5E55"/>
    <w:rsid w:val="007A77D5"/>
    <w:rsid w:val="007A7E70"/>
    <w:rsid w:val="007B0E98"/>
    <w:rsid w:val="007B4CC1"/>
    <w:rsid w:val="007B6A21"/>
    <w:rsid w:val="007C07FD"/>
    <w:rsid w:val="007C1148"/>
    <w:rsid w:val="007C1746"/>
    <w:rsid w:val="007C1EEA"/>
    <w:rsid w:val="007C32AD"/>
    <w:rsid w:val="007C34EC"/>
    <w:rsid w:val="007C42DA"/>
    <w:rsid w:val="007C6F57"/>
    <w:rsid w:val="007C7318"/>
    <w:rsid w:val="007D0728"/>
    <w:rsid w:val="007D3CCB"/>
    <w:rsid w:val="007D3D99"/>
    <w:rsid w:val="007D41AD"/>
    <w:rsid w:val="007D75FD"/>
    <w:rsid w:val="007E0C06"/>
    <w:rsid w:val="007E2228"/>
    <w:rsid w:val="007E5824"/>
    <w:rsid w:val="007E6B61"/>
    <w:rsid w:val="007F10BD"/>
    <w:rsid w:val="007F4FF3"/>
    <w:rsid w:val="007F64D6"/>
    <w:rsid w:val="007F6AD5"/>
    <w:rsid w:val="008007C0"/>
    <w:rsid w:val="0080260F"/>
    <w:rsid w:val="0080432F"/>
    <w:rsid w:val="00811539"/>
    <w:rsid w:val="00811F1A"/>
    <w:rsid w:val="0081280A"/>
    <w:rsid w:val="0081363E"/>
    <w:rsid w:val="00814547"/>
    <w:rsid w:val="00814CE7"/>
    <w:rsid w:val="008200CE"/>
    <w:rsid w:val="008223FB"/>
    <w:rsid w:val="00824B8F"/>
    <w:rsid w:val="00825031"/>
    <w:rsid w:val="00826002"/>
    <w:rsid w:val="00826253"/>
    <w:rsid w:val="00830FE8"/>
    <w:rsid w:val="00832C80"/>
    <w:rsid w:val="00833C56"/>
    <w:rsid w:val="00833EB6"/>
    <w:rsid w:val="00836E4E"/>
    <w:rsid w:val="0083738A"/>
    <w:rsid w:val="00846F12"/>
    <w:rsid w:val="00847DE4"/>
    <w:rsid w:val="008531D4"/>
    <w:rsid w:val="00853318"/>
    <w:rsid w:val="008542EF"/>
    <w:rsid w:val="0085704F"/>
    <w:rsid w:val="00857B1D"/>
    <w:rsid w:val="00857E82"/>
    <w:rsid w:val="00866976"/>
    <w:rsid w:val="00870DBE"/>
    <w:rsid w:val="008725D5"/>
    <w:rsid w:val="00873694"/>
    <w:rsid w:val="008764D9"/>
    <w:rsid w:val="00880F3A"/>
    <w:rsid w:val="00883690"/>
    <w:rsid w:val="00884E64"/>
    <w:rsid w:val="00885477"/>
    <w:rsid w:val="00891F77"/>
    <w:rsid w:val="00893175"/>
    <w:rsid w:val="008945E4"/>
    <w:rsid w:val="00895B52"/>
    <w:rsid w:val="008960EF"/>
    <w:rsid w:val="008962CA"/>
    <w:rsid w:val="00897396"/>
    <w:rsid w:val="00897F4A"/>
    <w:rsid w:val="008A009B"/>
    <w:rsid w:val="008A0115"/>
    <w:rsid w:val="008A1E45"/>
    <w:rsid w:val="008A222C"/>
    <w:rsid w:val="008A2CD0"/>
    <w:rsid w:val="008A3B77"/>
    <w:rsid w:val="008A63C5"/>
    <w:rsid w:val="008A66A8"/>
    <w:rsid w:val="008A7025"/>
    <w:rsid w:val="008B3569"/>
    <w:rsid w:val="008B3B97"/>
    <w:rsid w:val="008B3F1A"/>
    <w:rsid w:val="008B52C1"/>
    <w:rsid w:val="008B63D7"/>
    <w:rsid w:val="008B7268"/>
    <w:rsid w:val="008C0890"/>
    <w:rsid w:val="008C3E56"/>
    <w:rsid w:val="008C47EC"/>
    <w:rsid w:val="008C4B8E"/>
    <w:rsid w:val="008C4CA9"/>
    <w:rsid w:val="008C5505"/>
    <w:rsid w:val="008C595A"/>
    <w:rsid w:val="008C71BB"/>
    <w:rsid w:val="008C77FB"/>
    <w:rsid w:val="008D24E6"/>
    <w:rsid w:val="008D29F6"/>
    <w:rsid w:val="008D2A7F"/>
    <w:rsid w:val="008D3D5E"/>
    <w:rsid w:val="008D4503"/>
    <w:rsid w:val="008D4AA5"/>
    <w:rsid w:val="008D4FD2"/>
    <w:rsid w:val="008D5B3B"/>
    <w:rsid w:val="008D643A"/>
    <w:rsid w:val="008D7416"/>
    <w:rsid w:val="008D74FF"/>
    <w:rsid w:val="008D7926"/>
    <w:rsid w:val="008E04C4"/>
    <w:rsid w:val="008E1B81"/>
    <w:rsid w:val="008E1D79"/>
    <w:rsid w:val="008E22FA"/>
    <w:rsid w:val="008E3076"/>
    <w:rsid w:val="008E6B1C"/>
    <w:rsid w:val="008E6D16"/>
    <w:rsid w:val="008E7392"/>
    <w:rsid w:val="008E7D67"/>
    <w:rsid w:val="008F1394"/>
    <w:rsid w:val="008F1973"/>
    <w:rsid w:val="008F1B9B"/>
    <w:rsid w:val="008F2640"/>
    <w:rsid w:val="008F2E0F"/>
    <w:rsid w:val="008F487D"/>
    <w:rsid w:val="008F658D"/>
    <w:rsid w:val="008F73A2"/>
    <w:rsid w:val="009071CD"/>
    <w:rsid w:val="009125F4"/>
    <w:rsid w:val="00912B51"/>
    <w:rsid w:val="00912C34"/>
    <w:rsid w:val="00913129"/>
    <w:rsid w:val="0091552D"/>
    <w:rsid w:val="00916F04"/>
    <w:rsid w:val="00920FA1"/>
    <w:rsid w:val="009231B4"/>
    <w:rsid w:val="00924F40"/>
    <w:rsid w:val="0092571A"/>
    <w:rsid w:val="00925E91"/>
    <w:rsid w:val="00926F07"/>
    <w:rsid w:val="009270A9"/>
    <w:rsid w:val="0093537F"/>
    <w:rsid w:val="00935EB0"/>
    <w:rsid w:val="00936FEA"/>
    <w:rsid w:val="00941514"/>
    <w:rsid w:val="009415D1"/>
    <w:rsid w:val="009433CA"/>
    <w:rsid w:val="00943544"/>
    <w:rsid w:val="0095011B"/>
    <w:rsid w:val="00950211"/>
    <w:rsid w:val="0095418F"/>
    <w:rsid w:val="009544FA"/>
    <w:rsid w:val="00955BF8"/>
    <w:rsid w:val="00956BD0"/>
    <w:rsid w:val="00963F0A"/>
    <w:rsid w:val="00967ADF"/>
    <w:rsid w:val="0097035E"/>
    <w:rsid w:val="00970EE5"/>
    <w:rsid w:val="009736B8"/>
    <w:rsid w:val="00975F0F"/>
    <w:rsid w:val="00976578"/>
    <w:rsid w:val="00981000"/>
    <w:rsid w:val="009812FE"/>
    <w:rsid w:val="00982D34"/>
    <w:rsid w:val="00982E2E"/>
    <w:rsid w:val="00982FEE"/>
    <w:rsid w:val="00983B6C"/>
    <w:rsid w:val="00983CF1"/>
    <w:rsid w:val="00984E32"/>
    <w:rsid w:val="0098622C"/>
    <w:rsid w:val="0099305A"/>
    <w:rsid w:val="00993BBD"/>
    <w:rsid w:val="00996599"/>
    <w:rsid w:val="00997E80"/>
    <w:rsid w:val="009A0B72"/>
    <w:rsid w:val="009A0EE6"/>
    <w:rsid w:val="009A423B"/>
    <w:rsid w:val="009A4415"/>
    <w:rsid w:val="009A494C"/>
    <w:rsid w:val="009A6FA3"/>
    <w:rsid w:val="009A7D47"/>
    <w:rsid w:val="009B15DF"/>
    <w:rsid w:val="009B2C3F"/>
    <w:rsid w:val="009B34AE"/>
    <w:rsid w:val="009B4883"/>
    <w:rsid w:val="009B5AB3"/>
    <w:rsid w:val="009B6FD6"/>
    <w:rsid w:val="009C0724"/>
    <w:rsid w:val="009C1229"/>
    <w:rsid w:val="009C3464"/>
    <w:rsid w:val="009C3C57"/>
    <w:rsid w:val="009C59CD"/>
    <w:rsid w:val="009C76F2"/>
    <w:rsid w:val="009C7AF9"/>
    <w:rsid w:val="009D5DEC"/>
    <w:rsid w:val="009D6F96"/>
    <w:rsid w:val="009E03CC"/>
    <w:rsid w:val="009E04F0"/>
    <w:rsid w:val="009E2EA5"/>
    <w:rsid w:val="009E3988"/>
    <w:rsid w:val="009E3A3A"/>
    <w:rsid w:val="009E62B6"/>
    <w:rsid w:val="009E67EA"/>
    <w:rsid w:val="009E7FE3"/>
    <w:rsid w:val="009F12A2"/>
    <w:rsid w:val="009F3196"/>
    <w:rsid w:val="009F480F"/>
    <w:rsid w:val="009F6B44"/>
    <w:rsid w:val="00A00DA2"/>
    <w:rsid w:val="00A043B9"/>
    <w:rsid w:val="00A078AE"/>
    <w:rsid w:val="00A10CA2"/>
    <w:rsid w:val="00A10E68"/>
    <w:rsid w:val="00A11AE2"/>
    <w:rsid w:val="00A1223A"/>
    <w:rsid w:val="00A17976"/>
    <w:rsid w:val="00A20E0B"/>
    <w:rsid w:val="00A237D7"/>
    <w:rsid w:val="00A246E4"/>
    <w:rsid w:val="00A25CD6"/>
    <w:rsid w:val="00A267C3"/>
    <w:rsid w:val="00A26B34"/>
    <w:rsid w:val="00A3032C"/>
    <w:rsid w:val="00A3239A"/>
    <w:rsid w:val="00A32F3B"/>
    <w:rsid w:val="00A33A09"/>
    <w:rsid w:val="00A33EB5"/>
    <w:rsid w:val="00A40D7A"/>
    <w:rsid w:val="00A41155"/>
    <w:rsid w:val="00A4150B"/>
    <w:rsid w:val="00A4337D"/>
    <w:rsid w:val="00A4554C"/>
    <w:rsid w:val="00A505E8"/>
    <w:rsid w:val="00A534CF"/>
    <w:rsid w:val="00A53681"/>
    <w:rsid w:val="00A55008"/>
    <w:rsid w:val="00A568E4"/>
    <w:rsid w:val="00A56AA6"/>
    <w:rsid w:val="00A570DB"/>
    <w:rsid w:val="00A57B0E"/>
    <w:rsid w:val="00A60BB1"/>
    <w:rsid w:val="00A61397"/>
    <w:rsid w:val="00A61ED6"/>
    <w:rsid w:val="00A6509B"/>
    <w:rsid w:val="00A66B7B"/>
    <w:rsid w:val="00A677EF"/>
    <w:rsid w:val="00A67D36"/>
    <w:rsid w:val="00A70653"/>
    <w:rsid w:val="00A72B6B"/>
    <w:rsid w:val="00A731C3"/>
    <w:rsid w:val="00A74AB8"/>
    <w:rsid w:val="00A7592D"/>
    <w:rsid w:val="00A75BB6"/>
    <w:rsid w:val="00A77ED0"/>
    <w:rsid w:val="00A77FD8"/>
    <w:rsid w:val="00A83126"/>
    <w:rsid w:val="00A8395D"/>
    <w:rsid w:val="00A85079"/>
    <w:rsid w:val="00A87E82"/>
    <w:rsid w:val="00A904AC"/>
    <w:rsid w:val="00A92675"/>
    <w:rsid w:val="00A93171"/>
    <w:rsid w:val="00A94214"/>
    <w:rsid w:val="00A94FCA"/>
    <w:rsid w:val="00A9700A"/>
    <w:rsid w:val="00A979DF"/>
    <w:rsid w:val="00AA1B2E"/>
    <w:rsid w:val="00AA1B97"/>
    <w:rsid w:val="00AA3B58"/>
    <w:rsid w:val="00AA5F24"/>
    <w:rsid w:val="00AA5FEA"/>
    <w:rsid w:val="00AA6600"/>
    <w:rsid w:val="00AA69F3"/>
    <w:rsid w:val="00AB0460"/>
    <w:rsid w:val="00AB7C84"/>
    <w:rsid w:val="00AC399C"/>
    <w:rsid w:val="00AC3F7D"/>
    <w:rsid w:val="00AC54DE"/>
    <w:rsid w:val="00AD5970"/>
    <w:rsid w:val="00AD6B47"/>
    <w:rsid w:val="00AE18E7"/>
    <w:rsid w:val="00AE1F3E"/>
    <w:rsid w:val="00AE2DE4"/>
    <w:rsid w:val="00AE482C"/>
    <w:rsid w:val="00AF0A1B"/>
    <w:rsid w:val="00B01D15"/>
    <w:rsid w:val="00B0610E"/>
    <w:rsid w:val="00B06E44"/>
    <w:rsid w:val="00B07675"/>
    <w:rsid w:val="00B07BA0"/>
    <w:rsid w:val="00B07DA9"/>
    <w:rsid w:val="00B13896"/>
    <w:rsid w:val="00B1444F"/>
    <w:rsid w:val="00B14F1E"/>
    <w:rsid w:val="00B16B84"/>
    <w:rsid w:val="00B206EC"/>
    <w:rsid w:val="00B2085B"/>
    <w:rsid w:val="00B276F4"/>
    <w:rsid w:val="00B31398"/>
    <w:rsid w:val="00B31646"/>
    <w:rsid w:val="00B31829"/>
    <w:rsid w:val="00B34818"/>
    <w:rsid w:val="00B34A52"/>
    <w:rsid w:val="00B3569D"/>
    <w:rsid w:val="00B3617B"/>
    <w:rsid w:val="00B3689D"/>
    <w:rsid w:val="00B42252"/>
    <w:rsid w:val="00B42A33"/>
    <w:rsid w:val="00B4422B"/>
    <w:rsid w:val="00B46FE1"/>
    <w:rsid w:val="00B470AF"/>
    <w:rsid w:val="00B47FB0"/>
    <w:rsid w:val="00B5135B"/>
    <w:rsid w:val="00B51ED1"/>
    <w:rsid w:val="00B53199"/>
    <w:rsid w:val="00B541B5"/>
    <w:rsid w:val="00B54F2E"/>
    <w:rsid w:val="00B5714F"/>
    <w:rsid w:val="00B5793F"/>
    <w:rsid w:val="00B57B36"/>
    <w:rsid w:val="00B61168"/>
    <w:rsid w:val="00B611EF"/>
    <w:rsid w:val="00B64267"/>
    <w:rsid w:val="00B665DB"/>
    <w:rsid w:val="00B66C2D"/>
    <w:rsid w:val="00B676C3"/>
    <w:rsid w:val="00B718C5"/>
    <w:rsid w:val="00B7391F"/>
    <w:rsid w:val="00B80D31"/>
    <w:rsid w:val="00B81BD6"/>
    <w:rsid w:val="00B81F38"/>
    <w:rsid w:val="00B828D1"/>
    <w:rsid w:val="00B83699"/>
    <w:rsid w:val="00B83AAC"/>
    <w:rsid w:val="00B83C76"/>
    <w:rsid w:val="00B87696"/>
    <w:rsid w:val="00B93595"/>
    <w:rsid w:val="00B941C8"/>
    <w:rsid w:val="00B96AA9"/>
    <w:rsid w:val="00B9746C"/>
    <w:rsid w:val="00BA004F"/>
    <w:rsid w:val="00BA0FA9"/>
    <w:rsid w:val="00BA13BA"/>
    <w:rsid w:val="00BA5284"/>
    <w:rsid w:val="00BA5C2C"/>
    <w:rsid w:val="00BB3ADC"/>
    <w:rsid w:val="00BB4359"/>
    <w:rsid w:val="00BB654E"/>
    <w:rsid w:val="00BB6DC7"/>
    <w:rsid w:val="00BB6EE4"/>
    <w:rsid w:val="00BB71EE"/>
    <w:rsid w:val="00BC0132"/>
    <w:rsid w:val="00BC2A0A"/>
    <w:rsid w:val="00BC2E73"/>
    <w:rsid w:val="00BC43DA"/>
    <w:rsid w:val="00BC5F98"/>
    <w:rsid w:val="00BC6BE5"/>
    <w:rsid w:val="00BC72D6"/>
    <w:rsid w:val="00BD02C6"/>
    <w:rsid w:val="00BD1385"/>
    <w:rsid w:val="00BD354F"/>
    <w:rsid w:val="00BD51EA"/>
    <w:rsid w:val="00BD5811"/>
    <w:rsid w:val="00BD5D2F"/>
    <w:rsid w:val="00BD6251"/>
    <w:rsid w:val="00BE0C1E"/>
    <w:rsid w:val="00BE130D"/>
    <w:rsid w:val="00BE2238"/>
    <w:rsid w:val="00BE4A69"/>
    <w:rsid w:val="00BE5543"/>
    <w:rsid w:val="00BE591D"/>
    <w:rsid w:val="00BE5A9F"/>
    <w:rsid w:val="00BE660C"/>
    <w:rsid w:val="00BE7299"/>
    <w:rsid w:val="00BE7AD2"/>
    <w:rsid w:val="00BF1E5C"/>
    <w:rsid w:val="00BF41C5"/>
    <w:rsid w:val="00BF4989"/>
    <w:rsid w:val="00BF4ADD"/>
    <w:rsid w:val="00C0109A"/>
    <w:rsid w:val="00C019C0"/>
    <w:rsid w:val="00C01A11"/>
    <w:rsid w:val="00C064ED"/>
    <w:rsid w:val="00C06576"/>
    <w:rsid w:val="00C06FCE"/>
    <w:rsid w:val="00C07685"/>
    <w:rsid w:val="00C07B7F"/>
    <w:rsid w:val="00C07F97"/>
    <w:rsid w:val="00C15A9B"/>
    <w:rsid w:val="00C1656B"/>
    <w:rsid w:val="00C166BC"/>
    <w:rsid w:val="00C16812"/>
    <w:rsid w:val="00C21124"/>
    <w:rsid w:val="00C21388"/>
    <w:rsid w:val="00C227F3"/>
    <w:rsid w:val="00C25392"/>
    <w:rsid w:val="00C257B9"/>
    <w:rsid w:val="00C314A0"/>
    <w:rsid w:val="00C32659"/>
    <w:rsid w:val="00C33E78"/>
    <w:rsid w:val="00C33FF9"/>
    <w:rsid w:val="00C40E6E"/>
    <w:rsid w:val="00C44B6F"/>
    <w:rsid w:val="00C47F02"/>
    <w:rsid w:val="00C504FC"/>
    <w:rsid w:val="00C5407C"/>
    <w:rsid w:val="00C558C8"/>
    <w:rsid w:val="00C56D6B"/>
    <w:rsid w:val="00C60595"/>
    <w:rsid w:val="00C67D38"/>
    <w:rsid w:val="00C70D46"/>
    <w:rsid w:val="00C75A54"/>
    <w:rsid w:val="00C7771E"/>
    <w:rsid w:val="00C80BB3"/>
    <w:rsid w:val="00C82D97"/>
    <w:rsid w:val="00C8752B"/>
    <w:rsid w:val="00C90044"/>
    <w:rsid w:val="00C90AF5"/>
    <w:rsid w:val="00C91634"/>
    <w:rsid w:val="00C91F3A"/>
    <w:rsid w:val="00C956FA"/>
    <w:rsid w:val="00C95DC9"/>
    <w:rsid w:val="00C95F4B"/>
    <w:rsid w:val="00C965CB"/>
    <w:rsid w:val="00CA0C6E"/>
    <w:rsid w:val="00CA1C42"/>
    <w:rsid w:val="00CA31C4"/>
    <w:rsid w:val="00CA50D1"/>
    <w:rsid w:val="00CA5219"/>
    <w:rsid w:val="00CA6172"/>
    <w:rsid w:val="00CA6C91"/>
    <w:rsid w:val="00CA77BD"/>
    <w:rsid w:val="00CA7CE9"/>
    <w:rsid w:val="00CA7EAE"/>
    <w:rsid w:val="00CB2F2D"/>
    <w:rsid w:val="00CB3595"/>
    <w:rsid w:val="00CB4D72"/>
    <w:rsid w:val="00CB513A"/>
    <w:rsid w:val="00CB68E5"/>
    <w:rsid w:val="00CC2130"/>
    <w:rsid w:val="00CC2EF7"/>
    <w:rsid w:val="00CC6C99"/>
    <w:rsid w:val="00CC7EA9"/>
    <w:rsid w:val="00CD0663"/>
    <w:rsid w:val="00CD186B"/>
    <w:rsid w:val="00CD1B9E"/>
    <w:rsid w:val="00CD2243"/>
    <w:rsid w:val="00CD43A1"/>
    <w:rsid w:val="00CD49C1"/>
    <w:rsid w:val="00CD70C9"/>
    <w:rsid w:val="00CE205E"/>
    <w:rsid w:val="00CE4F8D"/>
    <w:rsid w:val="00CE5100"/>
    <w:rsid w:val="00CE536C"/>
    <w:rsid w:val="00CE5BF8"/>
    <w:rsid w:val="00CE60A3"/>
    <w:rsid w:val="00CE7FB0"/>
    <w:rsid w:val="00CF17D5"/>
    <w:rsid w:val="00CF20B5"/>
    <w:rsid w:val="00CF6EF3"/>
    <w:rsid w:val="00D0015D"/>
    <w:rsid w:val="00D02A69"/>
    <w:rsid w:val="00D06C38"/>
    <w:rsid w:val="00D103AA"/>
    <w:rsid w:val="00D11ADC"/>
    <w:rsid w:val="00D13BEC"/>
    <w:rsid w:val="00D13C1D"/>
    <w:rsid w:val="00D15947"/>
    <w:rsid w:val="00D15996"/>
    <w:rsid w:val="00D16D96"/>
    <w:rsid w:val="00D26D65"/>
    <w:rsid w:val="00D2788A"/>
    <w:rsid w:val="00D31113"/>
    <w:rsid w:val="00D31602"/>
    <w:rsid w:val="00D401E0"/>
    <w:rsid w:val="00D42BEA"/>
    <w:rsid w:val="00D44202"/>
    <w:rsid w:val="00D44A82"/>
    <w:rsid w:val="00D45B30"/>
    <w:rsid w:val="00D47F4E"/>
    <w:rsid w:val="00D50AF1"/>
    <w:rsid w:val="00D51F96"/>
    <w:rsid w:val="00D571DD"/>
    <w:rsid w:val="00D6009E"/>
    <w:rsid w:val="00D6019E"/>
    <w:rsid w:val="00D60DAB"/>
    <w:rsid w:val="00D6202E"/>
    <w:rsid w:val="00D676DD"/>
    <w:rsid w:val="00D7030A"/>
    <w:rsid w:val="00D70733"/>
    <w:rsid w:val="00D71F6E"/>
    <w:rsid w:val="00D725AD"/>
    <w:rsid w:val="00D729AA"/>
    <w:rsid w:val="00D7379D"/>
    <w:rsid w:val="00D747A7"/>
    <w:rsid w:val="00D74CEB"/>
    <w:rsid w:val="00D74CFF"/>
    <w:rsid w:val="00D75D7D"/>
    <w:rsid w:val="00D7694F"/>
    <w:rsid w:val="00D77AF0"/>
    <w:rsid w:val="00D8175E"/>
    <w:rsid w:val="00D85860"/>
    <w:rsid w:val="00D86A06"/>
    <w:rsid w:val="00D91748"/>
    <w:rsid w:val="00D928CB"/>
    <w:rsid w:val="00D9533C"/>
    <w:rsid w:val="00D971F8"/>
    <w:rsid w:val="00D97A7A"/>
    <w:rsid w:val="00DA1DE8"/>
    <w:rsid w:val="00DA1FAE"/>
    <w:rsid w:val="00DA28D0"/>
    <w:rsid w:val="00DA380A"/>
    <w:rsid w:val="00DA3BD1"/>
    <w:rsid w:val="00DB05D3"/>
    <w:rsid w:val="00DB0B1A"/>
    <w:rsid w:val="00DB1073"/>
    <w:rsid w:val="00DB16F3"/>
    <w:rsid w:val="00DB2EEF"/>
    <w:rsid w:val="00DB3800"/>
    <w:rsid w:val="00DB40AC"/>
    <w:rsid w:val="00DB41AA"/>
    <w:rsid w:val="00DB4EA0"/>
    <w:rsid w:val="00DB4EEC"/>
    <w:rsid w:val="00DB6C47"/>
    <w:rsid w:val="00DB76CD"/>
    <w:rsid w:val="00DB7F82"/>
    <w:rsid w:val="00DC0A99"/>
    <w:rsid w:val="00DC3655"/>
    <w:rsid w:val="00DC388A"/>
    <w:rsid w:val="00DC5383"/>
    <w:rsid w:val="00DC5A6A"/>
    <w:rsid w:val="00DC77D2"/>
    <w:rsid w:val="00DC7A96"/>
    <w:rsid w:val="00DD0950"/>
    <w:rsid w:val="00DD16B9"/>
    <w:rsid w:val="00DD4B1A"/>
    <w:rsid w:val="00DE0577"/>
    <w:rsid w:val="00DE0CE9"/>
    <w:rsid w:val="00DE1C5B"/>
    <w:rsid w:val="00DE394B"/>
    <w:rsid w:val="00DE57E9"/>
    <w:rsid w:val="00DE5A27"/>
    <w:rsid w:val="00DE682D"/>
    <w:rsid w:val="00DF51E5"/>
    <w:rsid w:val="00E007AD"/>
    <w:rsid w:val="00E02810"/>
    <w:rsid w:val="00E03A79"/>
    <w:rsid w:val="00E05748"/>
    <w:rsid w:val="00E05887"/>
    <w:rsid w:val="00E05ED0"/>
    <w:rsid w:val="00E06111"/>
    <w:rsid w:val="00E06128"/>
    <w:rsid w:val="00E15EB6"/>
    <w:rsid w:val="00E16106"/>
    <w:rsid w:val="00E23C8A"/>
    <w:rsid w:val="00E26A0B"/>
    <w:rsid w:val="00E30502"/>
    <w:rsid w:val="00E34C41"/>
    <w:rsid w:val="00E34EE7"/>
    <w:rsid w:val="00E43C28"/>
    <w:rsid w:val="00E45362"/>
    <w:rsid w:val="00E50514"/>
    <w:rsid w:val="00E515F0"/>
    <w:rsid w:val="00E51AAA"/>
    <w:rsid w:val="00E52539"/>
    <w:rsid w:val="00E52D90"/>
    <w:rsid w:val="00E537A3"/>
    <w:rsid w:val="00E539FE"/>
    <w:rsid w:val="00E5427C"/>
    <w:rsid w:val="00E563AA"/>
    <w:rsid w:val="00E56E8A"/>
    <w:rsid w:val="00E5718B"/>
    <w:rsid w:val="00E57855"/>
    <w:rsid w:val="00E60C2F"/>
    <w:rsid w:val="00E615A8"/>
    <w:rsid w:val="00E62366"/>
    <w:rsid w:val="00E63923"/>
    <w:rsid w:val="00E63E81"/>
    <w:rsid w:val="00E6476B"/>
    <w:rsid w:val="00E64CAC"/>
    <w:rsid w:val="00E65F4F"/>
    <w:rsid w:val="00E72BB7"/>
    <w:rsid w:val="00E73709"/>
    <w:rsid w:val="00E74916"/>
    <w:rsid w:val="00E751EC"/>
    <w:rsid w:val="00E80987"/>
    <w:rsid w:val="00E8262D"/>
    <w:rsid w:val="00E90073"/>
    <w:rsid w:val="00E9239C"/>
    <w:rsid w:val="00E96B66"/>
    <w:rsid w:val="00E97E26"/>
    <w:rsid w:val="00EA049F"/>
    <w:rsid w:val="00EA04DD"/>
    <w:rsid w:val="00EA2BFA"/>
    <w:rsid w:val="00EA4A2A"/>
    <w:rsid w:val="00EA6358"/>
    <w:rsid w:val="00EA6D95"/>
    <w:rsid w:val="00EA7A6F"/>
    <w:rsid w:val="00EB0C8C"/>
    <w:rsid w:val="00EB258C"/>
    <w:rsid w:val="00EB389D"/>
    <w:rsid w:val="00EB5288"/>
    <w:rsid w:val="00EB772F"/>
    <w:rsid w:val="00EC3056"/>
    <w:rsid w:val="00EC5E3B"/>
    <w:rsid w:val="00EC7B37"/>
    <w:rsid w:val="00EC7BBE"/>
    <w:rsid w:val="00ED35C1"/>
    <w:rsid w:val="00ED3A04"/>
    <w:rsid w:val="00ED3A70"/>
    <w:rsid w:val="00ED6655"/>
    <w:rsid w:val="00ED6C14"/>
    <w:rsid w:val="00ED727F"/>
    <w:rsid w:val="00EE0F5B"/>
    <w:rsid w:val="00EE1034"/>
    <w:rsid w:val="00EE2660"/>
    <w:rsid w:val="00EE4EA7"/>
    <w:rsid w:val="00EE5715"/>
    <w:rsid w:val="00EE59C5"/>
    <w:rsid w:val="00EF19C8"/>
    <w:rsid w:val="00EF2597"/>
    <w:rsid w:val="00EF3587"/>
    <w:rsid w:val="00EF36BF"/>
    <w:rsid w:val="00EF4F15"/>
    <w:rsid w:val="00EF5292"/>
    <w:rsid w:val="00EF52C6"/>
    <w:rsid w:val="00EF5D8D"/>
    <w:rsid w:val="00F01A2E"/>
    <w:rsid w:val="00F0227F"/>
    <w:rsid w:val="00F03B79"/>
    <w:rsid w:val="00F04011"/>
    <w:rsid w:val="00F04DEC"/>
    <w:rsid w:val="00F061C1"/>
    <w:rsid w:val="00F0621B"/>
    <w:rsid w:val="00F113EA"/>
    <w:rsid w:val="00F12F07"/>
    <w:rsid w:val="00F24D2F"/>
    <w:rsid w:val="00F27392"/>
    <w:rsid w:val="00F30D16"/>
    <w:rsid w:val="00F30E2A"/>
    <w:rsid w:val="00F32506"/>
    <w:rsid w:val="00F34BB7"/>
    <w:rsid w:val="00F35AB8"/>
    <w:rsid w:val="00F40F56"/>
    <w:rsid w:val="00F4394A"/>
    <w:rsid w:val="00F4699A"/>
    <w:rsid w:val="00F47F59"/>
    <w:rsid w:val="00F506EE"/>
    <w:rsid w:val="00F52624"/>
    <w:rsid w:val="00F52FED"/>
    <w:rsid w:val="00F54043"/>
    <w:rsid w:val="00F55148"/>
    <w:rsid w:val="00F56079"/>
    <w:rsid w:val="00F5721D"/>
    <w:rsid w:val="00F61670"/>
    <w:rsid w:val="00F64368"/>
    <w:rsid w:val="00F649CF"/>
    <w:rsid w:val="00F658A4"/>
    <w:rsid w:val="00F660F6"/>
    <w:rsid w:val="00F676AA"/>
    <w:rsid w:val="00F7109A"/>
    <w:rsid w:val="00F7224B"/>
    <w:rsid w:val="00F76596"/>
    <w:rsid w:val="00F76AF3"/>
    <w:rsid w:val="00F80658"/>
    <w:rsid w:val="00F81EA7"/>
    <w:rsid w:val="00F84BEB"/>
    <w:rsid w:val="00F8732F"/>
    <w:rsid w:val="00F94F94"/>
    <w:rsid w:val="00F95594"/>
    <w:rsid w:val="00F95B46"/>
    <w:rsid w:val="00F972DF"/>
    <w:rsid w:val="00FA0C1E"/>
    <w:rsid w:val="00FA0C5E"/>
    <w:rsid w:val="00FA2B74"/>
    <w:rsid w:val="00FA4CB3"/>
    <w:rsid w:val="00FA5F76"/>
    <w:rsid w:val="00FA70D0"/>
    <w:rsid w:val="00FA7FF7"/>
    <w:rsid w:val="00FB3DCF"/>
    <w:rsid w:val="00FB47DF"/>
    <w:rsid w:val="00FB5B95"/>
    <w:rsid w:val="00FB75B2"/>
    <w:rsid w:val="00FBCB9C"/>
    <w:rsid w:val="00FC06A2"/>
    <w:rsid w:val="00FC128C"/>
    <w:rsid w:val="00FC185A"/>
    <w:rsid w:val="00FC2054"/>
    <w:rsid w:val="00FC582C"/>
    <w:rsid w:val="00FC6569"/>
    <w:rsid w:val="00FC7A92"/>
    <w:rsid w:val="00FD466C"/>
    <w:rsid w:val="00FD7041"/>
    <w:rsid w:val="00FE15D4"/>
    <w:rsid w:val="00FE1909"/>
    <w:rsid w:val="00FE3934"/>
    <w:rsid w:val="00FE4172"/>
    <w:rsid w:val="00FE4C55"/>
    <w:rsid w:val="00FE542B"/>
    <w:rsid w:val="00FE6086"/>
    <w:rsid w:val="00FF0B11"/>
    <w:rsid w:val="00FF0DB8"/>
    <w:rsid w:val="00FF177E"/>
    <w:rsid w:val="00FF1A74"/>
    <w:rsid w:val="00FF3350"/>
    <w:rsid w:val="00FF5454"/>
    <w:rsid w:val="00FF5982"/>
    <w:rsid w:val="00FF68CF"/>
    <w:rsid w:val="0217C2A7"/>
    <w:rsid w:val="0383DBAC"/>
    <w:rsid w:val="0659F537"/>
    <w:rsid w:val="08E985ED"/>
    <w:rsid w:val="09D2150B"/>
    <w:rsid w:val="0ABA85D4"/>
    <w:rsid w:val="0ADC249F"/>
    <w:rsid w:val="0B92943D"/>
    <w:rsid w:val="0C1D99E5"/>
    <w:rsid w:val="0CFFD385"/>
    <w:rsid w:val="0D5DB201"/>
    <w:rsid w:val="0F0B711D"/>
    <w:rsid w:val="0F41EDE3"/>
    <w:rsid w:val="0FC33D3D"/>
    <w:rsid w:val="10B15BD5"/>
    <w:rsid w:val="10B316AD"/>
    <w:rsid w:val="10EF531E"/>
    <w:rsid w:val="127BA386"/>
    <w:rsid w:val="17448E38"/>
    <w:rsid w:val="17A9E194"/>
    <w:rsid w:val="17CAB489"/>
    <w:rsid w:val="1919FF82"/>
    <w:rsid w:val="19B141CE"/>
    <w:rsid w:val="1A6BCF74"/>
    <w:rsid w:val="1A8DFADD"/>
    <w:rsid w:val="1AF58D57"/>
    <w:rsid w:val="1CD45385"/>
    <w:rsid w:val="1FFCC805"/>
    <w:rsid w:val="2084B44C"/>
    <w:rsid w:val="20E202B0"/>
    <w:rsid w:val="21C16751"/>
    <w:rsid w:val="22C3ABAC"/>
    <w:rsid w:val="233644E3"/>
    <w:rsid w:val="233BBCC5"/>
    <w:rsid w:val="23D941BB"/>
    <w:rsid w:val="241F5E8B"/>
    <w:rsid w:val="242A43C3"/>
    <w:rsid w:val="2538C4BD"/>
    <w:rsid w:val="26199CDD"/>
    <w:rsid w:val="262F7ACC"/>
    <w:rsid w:val="2732661B"/>
    <w:rsid w:val="275F1A74"/>
    <w:rsid w:val="289C86B8"/>
    <w:rsid w:val="2CD48A04"/>
    <w:rsid w:val="2F230361"/>
    <w:rsid w:val="2F768405"/>
    <w:rsid w:val="2FF8D787"/>
    <w:rsid w:val="3019F9A8"/>
    <w:rsid w:val="30DCC284"/>
    <w:rsid w:val="3448E691"/>
    <w:rsid w:val="345BB77B"/>
    <w:rsid w:val="34687F9A"/>
    <w:rsid w:val="3684CF3F"/>
    <w:rsid w:val="3767DD2D"/>
    <w:rsid w:val="3867067C"/>
    <w:rsid w:val="3955851C"/>
    <w:rsid w:val="39C397B7"/>
    <w:rsid w:val="3AE9ACEC"/>
    <w:rsid w:val="3B570DCF"/>
    <w:rsid w:val="3BACCA81"/>
    <w:rsid w:val="3D320B70"/>
    <w:rsid w:val="430CFA5E"/>
    <w:rsid w:val="43105167"/>
    <w:rsid w:val="447127BA"/>
    <w:rsid w:val="46C20CE1"/>
    <w:rsid w:val="47A4A882"/>
    <w:rsid w:val="48C163FB"/>
    <w:rsid w:val="492340F2"/>
    <w:rsid w:val="4B22980C"/>
    <w:rsid w:val="4CB2C4B7"/>
    <w:rsid w:val="4D1DBF23"/>
    <w:rsid w:val="4DB71304"/>
    <w:rsid w:val="4DC072A5"/>
    <w:rsid w:val="4EAF769D"/>
    <w:rsid w:val="502C87CE"/>
    <w:rsid w:val="50D7736F"/>
    <w:rsid w:val="50EEF23E"/>
    <w:rsid w:val="512C4E6F"/>
    <w:rsid w:val="51D91BE1"/>
    <w:rsid w:val="527A6024"/>
    <w:rsid w:val="534E6741"/>
    <w:rsid w:val="55EF51B1"/>
    <w:rsid w:val="56476A08"/>
    <w:rsid w:val="5655B86D"/>
    <w:rsid w:val="56E9C333"/>
    <w:rsid w:val="5BB1A4F0"/>
    <w:rsid w:val="5BBFF868"/>
    <w:rsid w:val="5C29288D"/>
    <w:rsid w:val="5CAAF259"/>
    <w:rsid w:val="5DA06DC6"/>
    <w:rsid w:val="61036B1E"/>
    <w:rsid w:val="612AAEEC"/>
    <w:rsid w:val="63D2C69D"/>
    <w:rsid w:val="64E44315"/>
    <w:rsid w:val="6692D58D"/>
    <w:rsid w:val="67304664"/>
    <w:rsid w:val="673574E1"/>
    <w:rsid w:val="6745A119"/>
    <w:rsid w:val="674AC21B"/>
    <w:rsid w:val="6A6D9A8E"/>
    <w:rsid w:val="6A784119"/>
    <w:rsid w:val="6B50331C"/>
    <w:rsid w:val="6E36B13C"/>
    <w:rsid w:val="6FDC29CF"/>
    <w:rsid w:val="7048CE72"/>
    <w:rsid w:val="71FC6287"/>
    <w:rsid w:val="721339A1"/>
    <w:rsid w:val="72BB9EE6"/>
    <w:rsid w:val="730D64CB"/>
    <w:rsid w:val="74486B63"/>
    <w:rsid w:val="75372F8B"/>
    <w:rsid w:val="770D0F3C"/>
    <w:rsid w:val="78172379"/>
    <w:rsid w:val="7B325318"/>
    <w:rsid w:val="7B5BD7EB"/>
    <w:rsid w:val="7BFA0EF2"/>
    <w:rsid w:val="7CE1DF5A"/>
    <w:rsid w:val="7D30EF77"/>
    <w:rsid w:val="7D596371"/>
    <w:rsid w:val="7DE704E8"/>
    <w:rsid w:val="7FBBA1BF"/>
  </w:rsids>
  <m:mathPr>
    <m:mathFont m:val="Cambria Math"/>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FDCAFE0"/>
  <w15:docId w15:val="{8CEBDE85-D31E-460A-ABAA-5F808BF7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73A"/>
    <w:pPr>
      <w:jc w:val="both"/>
    </w:pPr>
    <w:rPr>
      <w:rFonts w:ascii="Arial" w:hAnsi="Arial"/>
      <w:sz w:val="18"/>
      <w:lang w:val="es-ES_tradnl" w:eastAsia="es-CO"/>
    </w:rPr>
  </w:style>
  <w:style w:type="paragraph" w:styleId="Heading1">
    <w:name w:val="heading 1"/>
    <w:basedOn w:val="Normal"/>
    <w:next w:val="Normal"/>
    <w:link w:val="Ttulo1Car"/>
    <w:uiPriority w:val="99"/>
    <w:qFormat/>
    <w:rsid w:val="0068273A"/>
    <w:pPr>
      <w:keepNext/>
      <w:spacing w:before="240" w:after="60"/>
      <w:outlineLvl w:val="0"/>
    </w:pPr>
    <w:rPr>
      <w:b/>
      <w:bCs/>
      <w:kern w:val="32"/>
      <w:sz w:val="16"/>
      <w:szCs w:val="32"/>
    </w:rPr>
  </w:style>
  <w:style w:type="paragraph" w:styleId="Heading2">
    <w:name w:val="heading 2"/>
    <w:basedOn w:val="Normal"/>
    <w:next w:val="Normal"/>
    <w:link w:val="Ttulo2Car"/>
    <w:uiPriority w:val="99"/>
    <w:qFormat/>
    <w:rsid w:val="0068273A"/>
    <w:pPr>
      <w:keepNext/>
      <w:spacing w:before="240" w:after="60"/>
      <w:outlineLvl w:val="1"/>
    </w:pPr>
    <w:rPr>
      <w:b/>
      <w:bCs/>
      <w:iCs/>
      <w:sz w:val="16"/>
      <w:szCs w:val="28"/>
    </w:rPr>
  </w:style>
  <w:style w:type="paragraph" w:styleId="Heading3">
    <w:name w:val="heading 3"/>
    <w:basedOn w:val="Normal"/>
    <w:next w:val="Normal"/>
    <w:link w:val="Ttulo3Car"/>
    <w:uiPriority w:val="99"/>
    <w:qFormat/>
    <w:rsid w:val="00AB0460"/>
    <w:pPr>
      <w:keepNext/>
      <w:numPr>
        <w:ilvl w:val="2"/>
        <w:numId w:val="9"/>
      </w:numPr>
      <w:spacing w:before="240" w:after="60"/>
      <w:outlineLvl w:val="2"/>
    </w:pPr>
    <w:rPr>
      <w:b/>
      <w:bCs/>
      <w:sz w:val="20"/>
      <w:szCs w:val="26"/>
      <w:lang w:val="es-ES" w:eastAsia="es-ES"/>
    </w:rPr>
  </w:style>
  <w:style w:type="paragraph" w:styleId="Heading4">
    <w:name w:val="heading 4"/>
    <w:basedOn w:val="Normal"/>
    <w:next w:val="Normal"/>
    <w:link w:val="Ttulo4Car"/>
    <w:uiPriority w:val="99"/>
    <w:qFormat/>
    <w:rsid w:val="00AB0460"/>
    <w:pPr>
      <w:keepNext/>
      <w:numPr>
        <w:ilvl w:val="3"/>
        <w:numId w:val="9"/>
      </w:numPr>
      <w:spacing w:before="240" w:after="60"/>
      <w:outlineLvl w:val="3"/>
    </w:pPr>
    <w:rPr>
      <w:bCs/>
      <w:sz w:val="20"/>
      <w:szCs w:val="28"/>
      <w:lang w:val="es-ES" w:eastAsia="es-ES"/>
    </w:rPr>
  </w:style>
  <w:style w:type="paragraph" w:styleId="Heading5">
    <w:name w:val="heading 5"/>
    <w:basedOn w:val="Normal"/>
    <w:next w:val="Normal"/>
    <w:link w:val="Ttulo5Car"/>
    <w:uiPriority w:val="99"/>
    <w:qFormat/>
    <w:rsid w:val="00AB0460"/>
    <w:pPr>
      <w:numPr>
        <w:ilvl w:val="4"/>
        <w:numId w:val="9"/>
      </w:numPr>
      <w:spacing w:before="240" w:after="60"/>
      <w:outlineLvl w:val="4"/>
    </w:pPr>
    <w:rPr>
      <w:rFonts w:ascii="Times New Roman" w:hAnsi="Times New Roman"/>
      <w:b/>
      <w:bCs/>
      <w:iCs/>
      <w:sz w:val="20"/>
      <w:szCs w:val="26"/>
      <w:u w:val="single"/>
      <w:lang w:val="es-ES" w:eastAsia="es-ES"/>
    </w:rPr>
  </w:style>
  <w:style w:type="paragraph" w:styleId="Heading6">
    <w:name w:val="heading 6"/>
    <w:basedOn w:val="Normal"/>
    <w:link w:val="Ttulo6Car"/>
    <w:uiPriority w:val="99"/>
    <w:qFormat/>
    <w:rsid w:val="00AB0460"/>
    <w:pPr>
      <w:numPr>
        <w:ilvl w:val="5"/>
        <w:numId w:val="9"/>
      </w:numPr>
      <w:spacing w:before="100" w:beforeAutospacing="1" w:after="100" w:afterAutospacing="1"/>
      <w:outlineLvl w:val="5"/>
    </w:pPr>
    <w:rPr>
      <w:rFonts w:ascii="Times New Roman" w:hAnsi="Times New Roman"/>
      <w:b/>
      <w:bCs/>
      <w:sz w:val="15"/>
      <w:szCs w:val="15"/>
      <w:lang w:val="es-ES" w:eastAsia="es-ES"/>
    </w:rPr>
  </w:style>
  <w:style w:type="paragraph" w:styleId="Heading7">
    <w:name w:val="heading 7"/>
    <w:basedOn w:val="Normal"/>
    <w:next w:val="Normal"/>
    <w:link w:val="Ttulo7Car"/>
    <w:uiPriority w:val="99"/>
    <w:qFormat/>
    <w:rsid w:val="00AB0460"/>
    <w:pPr>
      <w:numPr>
        <w:ilvl w:val="6"/>
        <w:numId w:val="9"/>
      </w:numPr>
      <w:spacing w:before="240" w:after="60"/>
      <w:outlineLvl w:val="6"/>
    </w:pPr>
    <w:rPr>
      <w:rFonts w:ascii="Times New Roman" w:hAnsi="Times New Roman"/>
      <w:sz w:val="24"/>
      <w:szCs w:val="24"/>
      <w:lang w:val="es-ES" w:eastAsia="es-ES"/>
    </w:rPr>
  </w:style>
  <w:style w:type="paragraph" w:styleId="Heading8">
    <w:name w:val="heading 8"/>
    <w:basedOn w:val="Normal"/>
    <w:next w:val="Normal"/>
    <w:link w:val="Ttulo8Car"/>
    <w:uiPriority w:val="99"/>
    <w:qFormat/>
    <w:rsid w:val="00AB0460"/>
    <w:pPr>
      <w:numPr>
        <w:ilvl w:val="7"/>
        <w:numId w:val="9"/>
      </w:numPr>
      <w:spacing w:before="240" w:after="60"/>
      <w:outlineLvl w:val="7"/>
    </w:pPr>
    <w:rPr>
      <w:rFonts w:ascii="Times New Roman" w:hAnsi="Times New Roman"/>
      <w:i/>
      <w:iCs/>
      <w:sz w:val="24"/>
      <w:szCs w:val="24"/>
      <w:lang w:val="es-ES" w:eastAsia="es-ES"/>
    </w:rPr>
  </w:style>
  <w:style w:type="paragraph" w:styleId="Heading9">
    <w:name w:val="heading 9"/>
    <w:basedOn w:val="Normal"/>
    <w:next w:val="Normal"/>
    <w:link w:val="Ttulo9Car"/>
    <w:uiPriority w:val="99"/>
    <w:qFormat/>
    <w:rsid w:val="00AB0460"/>
    <w:pPr>
      <w:numPr>
        <w:ilvl w:val="8"/>
        <w:numId w:val="9"/>
      </w:numPr>
      <w:spacing w:before="240" w:after="60"/>
      <w:outlineLvl w:val="8"/>
    </w:pPr>
    <w:rPr>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link w:val="Heading1"/>
    <w:uiPriority w:val="99"/>
    <w:locked/>
    <w:rsid w:val="0068273A"/>
    <w:rPr>
      <w:rFonts w:ascii="Arial" w:hAnsi="Arial" w:cs="Times New Roman"/>
      <w:b/>
      <w:kern w:val="32"/>
      <w:sz w:val="32"/>
      <w:lang w:val="es-ES_tradnl" w:eastAsia="es-CO"/>
    </w:rPr>
  </w:style>
  <w:style w:type="character" w:customStyle="1" w:styleId="Ttulo2Car">
    <w:name w:val="Título 2 Car"/>
    <w:link w:val="Heading2"/>
    <w:uiPriority w:val="99"/>
    <w:locked/>
    <w:rsid w:val="0068273A"/>
    <w:rPr>
      <w:rFonts w:ascii="Arial" w:hAnsi="Arial" w:cs="Times New Roman"/>
      <w:b/>
      <w:sz w:val="28"/>
      <w:lang w:val="es-ES_tradnl" w:eastAsia="es-CO"/>
    </w:rPr>
  </w:style>
  <w:style w:type="character" w:customStyle="1" w:styleId="Ttulo3Car">
    <w:name w:val="Título 3 Car"/>
    <w:link w:val="Heading3"/>
    <w:uiPriority w:val="99"/>
    <w:locked/>
    <w:rsid w:val="00AB0460"/>
    <w:rPr>
      <w:rFonts w:ascii="Arial" w:hAnsi="Arial" w:cs="Times New Roman"/>
      <w:b/>
      <w:sz w:val="26"/>
      <w:lang w:val="es-ES" w:eastAsia="es-ES"/>
    </w:rPr>
  </w:style>
  <w:style w:type="character" w:customStyle="1" w:styleId="Ttulo4Car">
    <w:name w:val="Título 4 Car"/>
    <w:link w:val="Heading4"/>
    <w:uiPriority w:val="99"/>
    <w:locked/>
    <w:rsid w:val="00AB0460"/>
    <w:rPr>
      <w:rFonts w:ascii="Arial" w:hAnsi="Arial" w:cs="Times New Roman"/>
      <w:sz w:val="28"/>
      <w:lang w:val="es-ES" w:eastAsia="es-ES"/>
    </w:rPr>
  </w:style>
  <w:style w:type="character" w:customStyle="1" w:styleId="Ttulo5Car">
    <w:name w:val="Título 5 Car"/>
    <w:link w:val="Heading5"/>
    <w:uiPriority w:val="99"/>
    <w:locked/>
    <w:rsid w:val="00AB0460"/>
    <w:rPr>
      <w:rFonts w:cs="Times New Roman"/>
      <w:b/>
      <w:sz w:val="26"/>
      <w:u w:val="single"/>
      <w:lang w:val="es-ES" w:eastAsia="es-ES"/>
    </w:rPr>
  </w:style>
  <w:style w:type="character" w:customStyle="1" w:styleId="Ttulo6Car">
    <w:name w:val="Título 6 Car"/>
    <w:link w:val="Heading6"/>
    <w:uiPriority w:val="99"/>
    <w:locked/>
    <w:rsid w:val="00AB0460"/>
    <w:rPr>
      <w:rFonts w:cs="Times New Roman"/>
      <w:b/>
      <w:sz w:val="15"/>
      <w:lang w:val="es-ES" w:eastAsia="es-ES"/>
    </w:rPr>
  </w:style>
  <w:style w:type="character" w:customStyle="1" w:styleId="Ttulo7Car">
    <w:name w:val="Título 7 Car"/>
    <w:link w:val="Heading7"/>
    <w:uiPriority w:val="99"/>
    <w:locked/>
    <w:rsid w:val="00AB0460"/>
    <w:rPr>
      <w:rFonts w:cs="Times New Roman"/>
      <w:sz w:val="24"/>
      <w:lang w:val="es-ES" w:eastAsia="es-ES"/>
    </w:rPr>
  </w:style>
  <w:style w:type="character" w:customStyle="1" w:styleId="Ttulo8Car">
    <w:name w:val="Título 8 Car"/>
    <w:link w:val="Heading8"/>
    <w:uiPriority w:val="99"/>
    <w:locked/>
    <w:rsid w:val="00AB0460"/>
    <w:rPr>
      <w:rFonts w:cs="Times New Roman"/>
      <w:i/>
      <w:sz w:val="24"/>
      <w:lang w:val="es-ES" w:eastAsia="es-ES"/>
    </w:rPr>
  </w:style>
  <w:style w:type="character" w:customStyle="1" w:styleId="Ttulo9Car">
    <w:name w:val="Título 9 Car"/>
    <w:link w:val="Heading9"/>
    <w:uiPriority w:val="99"/>
    <w:locked/>
    <w:rsid w:val="00AB0460"/>
    <w:rPr>
      <w:rFonts w:ascii="Arial" w:hAnsi="Arial" w:cs="Times New Roman"/>
      <w:sz w:val="22"/>
      <w:lang w:val="es-ES" w:eastAsia="es-ES"/>
    </w:rPr>
  </w:style>
  <w:style w:type="paragraph" w:styleId="CommentText">
    <w:name w:val="annotation text"/>
    <w:basedOn w:val="Normal"/>
    <w:link w:val="TextocomentarioCar"/>
    <w:uiPriority w:val="99"/>
    <w:semiHidden/>
    <w:rsid w:val="0068273A"/>
    <w:rPr>
      <w:sz w:val="20"/>
      <w:lang w:eastAsia="es-ES"/>
    </w:rPr>
  </w:style>
  <w:style w:type="character" w:customStyle="1" w:styleId="TextocomentarioCar">
    <w:name w:val="Texto comentario Car"/>
    <w:link w:val="CommentText"/>
    <w:uiPriority w:val="99"/>
    <w:semiHidden/>
    <w:locked/>
    <w:rsid w:val="0068273A"/>
    <w:rPr>
      <w:rFonts w:ascii="Arial" w:hAnsi="Arial" w:cs="Times New Roman"/>
      <w:lang w:val="es-ES_tradnl"/>
    </w:rPr>
  </w:style>
  <w:style w:type="paragraph" w:styleId="NormalWeb">
    <w:name w:val="Normal (Web)"/>
    <w:basedOn w:val="Normal"/>
    <w:uiPriority w:val="99"/>
    <w:rsid w:val="0068273A"/>
    <w:pPr>
      <w:spacing w:before="100" w:beforeAutospacing="1" w:after="100" w:afterAutospacing="1"/>
      <w:jc w:val="left"/>
    </w:pPr>
    <w:rPr>
      <w:rFonts w:ascii="Times New Roman" w:hAnsi="Times New Roman"/>
      <w:color w:val="663300"/>
      <w:sz w:val="24"/>
      <w:szCs w:val="24"/>
      <w:lang w:val="es-CO"/>
    </w:rPr>
  </w:style>
  <w:style w:type="paragraph" w:customStyle="1" w:styleId="ListParagraph1">
    <w:name w:val="List Paragraph1"/>
    <w:basedOn w:val="Normal"/>
    <w:uiPriority w:val="99"/>
    <w:rsid w:val="0068273A"/>
    <w:pPr>
      <w:pBdr>
        <w:left w:val="single" w:sz="4" w:space="1" w:color="auto"/>
      </w:pBdr>
      <w:ind w:left="720"/>
      <w:contextualSpacing/>
    </w:pPr>
    <w:rPr>
      <w:rFonts w:cs="Arial"/>
      <w:b/>
      <w:sz w:val="20"/>
      <w:lang w:val="es-ES" w:eastAsia="en-US"/>
    </w:rPr>
  </w:style>
  <w:style w:type="paragraph" w:styleId="BalloonText">
    <w:name w:val="Balloon Text"/>
    <w:basedOn w:val="Normal"/>
    <w:link w:val="TextodegloboCar"/>
    <w:uiPriority w:val="99"/>
    <w:semiHidden/>
    <w:rsid w:val="0068273A"/>
    <w:rPr>
      <w:rFonts w:ascii="Tahoma" w:hAnsi="Tahoma"/>
      <w:sz w:val="16"/>
      <w:szCs w:val="16"/>
    </w:rPr>
  </w:style>
  <w:style w:type="character" w:customStyle="1" w:styleId="TextodegloboCar">
    <w:name w:val="Texto de globo Car"/>
    <w:link w:val="BalloonText"/>
    <w:uiPriority w:val="99"/>
    <w:semiHidden/>
    <w:locked/>
    <w:rsid w:val="0068273A"/>
    <w:rPr>
      <w:rFonts w:ascii="Tahoma" w:hAnsi="Tahoma" w:cs="Times New Roman"/>
      <w:sz w:val="16"/>
      <w:lang w:val="es-ES_tradnl" w:eastAsia="es-CO"/>
    </w:rPr>
  </w:style>
  <w:style w:type="paragraph" w:styleId="Header">
    <w:name w:val="header"/>
    <w:basedOn w:val="Normal"/>
    <w:link w:val="EncabezadoCar"/>
    <w:uiPriority w:val="99"/>
    <w:rsid w:val="00054624"/>
    <w:pPr>
      <w:tabs>
        <w:tab w:val="center" w:pos="4419"/>
        <w:tab w:val="right" w:pos="8838"/>
      </w:tabs>
    </w:pPr>
    <w:rPr>
      <w:lang w:eastAsia="es-ES"/>
    </w:rPr>
  </w:style>
  <w:style w:type="character" w:customStyle="1" w:styleId="EncabezadoCar">
    <w:name w:val="Encabezado Car"/>
    <w:link w:val="Header"/>
    <w:uiPriority w:val="99"/>
    <w:locked/>
    <w:rsid w:val="00054624"/>
    <w:rPr>
      <w:rFonts w:ascii="Arial" w:hAnsi="Arial" w:cs="Times New Roman"/>
      <w:sz w:val="18"/>
      <w:lang w:val="es-ES_tradnl"/>
    </w:rPr>
  </w:style>
  <w:style w:type="paragraph" w:styleId="Footer">
    <w:name w:val="footer"/>
    <w:basedOn w:val="Normal"/>
    <w:link w:val="PiedepginaCar"/>
    <w:uiPriority w:val="99"/>
    <w:rsid w:val="00054624"/>
    <w:pPr>
      <w:tabs>
        <w:tab w:val="center" w:pos="4419"/>
        <w:tab w:val="right" w:pos="8838"/>
      </w:tabs>
    </w:pPr>
    <w:rPr>
      <w:lang w:eastAsia="es-ES"/>
    </w:rPr>
  </w:style>
  <w:style w:type="character" w:customStyle="1" w:styleId="PiedepginaCar">
    <w:name w:val="Pie de página Car"/>
    <w:link w:val="Footer"/>
    <w:uiPriority w:val="99"/>
    <w:locked/>
    <w:rsid w:val="00054624"/>
    <w:rPr>
      <w:rFonts w:ascii="Arial" w:hAnsi="Arial" w:cs="Times New Roman"/>
      <w:sz w:val="18"/>
      <w:lang w:val="es-ES_tradnl"/>
    </w:rPr>
  </w:style>
  <w:style w:type="character" w:styleId="PageNumber">
    <w:name w:val="page number"/>
    <w:uiPriority w:val="99"/>
    <w:rsid w:val="00054624"/>
    <w:rPr>
      <w:rFonts w:cs="Times New Roman"/>
    </w:rPr>
  </w:style>
  <w:style w:type="paragraph" w:customStyle="1" w:styleId="Encabezadodetabladecontenido1">
    <w:name w:val="Encabezado de tabla de contenido1"/>
    <w:basedOn w:val="Heading1"/>
    <w:next w:val="Normal"/>
    <w:uiPriority w:val="99"/>
    <w:semiHidden/>
    <w:rsid w:val="002D3770"/>
    <w:pPr>
      <w:keepLines/>
      <w:spacing w:before="480" w:after="0" w:line="276" w:lineRule="auto"/>
      <w:jc w:val="left"/>
      <w:outlineLvl w:val="9"/>
    </w:pPr>
    <w:rPr>
      <w:rFonts w:ascii="Cambria" w:hAnsi="Cambria"/>
      <w:color w:val="365F91"/>
      <w:kern w:val="0"/>
      <w:sz w:val="28"/>
      <w:szCs w:val="28"/>
      <w:lang w:val="es-CO"/>
    </w:rPr>
  </w:style>
  <w:style w:type="paragraph" w:styleId="TOC1">
    <w:name w:val="toc 1"/>
    <w:basedOn w:val="Normal"/>
    <w:next w:val="Normal"/>
    <w:autoRedefine/>
    <w:uiPriority w:val="99"/>
    <w:rsid w:val="007640B9"/>
    <w:pPr>
      <w:tabs>
        <w:tab w:val="right" w:leader="dot" w:pos="9072"/>
      </w:tabs>
      <w:spacing w:before="240" w:after="120"/>
    </w:pPr>
    <w:rPr>
      <w:b/>
      <w:bCs/>
      <w:sz w:val="16"/>
    </w:rPr>
  </w:style>
  <w:style w:type="paragraph" w:styleId="TOC2">
    <w:name w:val="toc 2"/>
    <w:basedOn w:val="Normal"/>
    <w:next w:val="Normal"/>
    <w:autoRedefine/>
    <w:uiPriority w:val="99"/>
    <w:rsid w:val="007640B9"/>
    <w:pPr>
      <w:tabs>
        <w:tab w:val="right" w:leader="dot" w:pos="9072"/>
      </w:tabs>
      <w:ind w:left="180"/>
      <w:jc w:val="left"/>
    </w:pPr>
    <w:rPr>
      <w:iCs/>
      <w:sz w:val="16"/>
    </w:rPr>
  </w:style>
  <w:style w:type="character" w:styleId="Hyperlink">
    <w:name w:val="Hyperlink"/>
    <w:uiPriority w:val="99"/>
    <w:rsid w:val="002D3770"/>
    <w:rPr>
      <w:rFonts w:cs="Times New Roman"/>
      <w:color w:val="0000FF"/>
      <w:u w:val="single"/>
    </w:rPr>
  </w:style>
  <w:style w:type="paragraph" w:styleId="TOC3">
    <w:name w:val="toc 3"/>
    <w:basedOn w:val="Normal"/>
    <w:next w:val="Normal"/>
    <w:autoRedefine/>
    <w:uiPriority w:val="99"/>
    <w:rsid w:val="002D3770"/>
    <w:pPr>
      <w:ind w:left="360"/>
      <w:jc w:val="left"/>
    </w:pPr>
    <w:rPr>
      <w:rFonts w:ascii="Calibri" w:hAnsi="Calibri"/>
      <w:sz w:val="20"/>
    </w:rPr>
  </w:style>
  <w:style w:type="paragraph" w:styleId="TOC4">
    <w:name w:val="toc 4"/>
    <w:basedOn w:val="Normal"/>
    <w:next w:val="Normal"/>
    <w:autoRedefine/>
    <w:uiPriority w:val="99"/>
    <w:rsid w:val="002D3770"/>
    <w:pPr>
      <w:ind w:left="540"/>
      <w:jc w:val="left"/>
    </w:pPr>
    <w:rPr>
      <w:rFonts w:ascii="Calibri" w:hAnsi="Calibri"/>
      <w:sz w:val="20"/>
    </w:rPr>
  </w:style>
  <w:style w:type="paragraph" w:styleId="TOC5">
    <w:name w:val="toc 5"/>
    <w:basedOn w:val="Normal"/>
    <w:next w:val="Normal"/>
    <w:autoRedefine/>
    <w:uiPriority w:val="99"/>
    <w:rsid w:val="002D3770"/>
    <w:pPr>
      <w:ind w:left="720"/>
      <w:jc w:val="left"/>
    </w:pPr>
    <w:rPr>
      <w:rFonts w:ascii="Calibri" w:hAnsi="Calibri"/>
      <w:sz w:val="20"/>
    </w:rPr>
  </w:style>
  <w:style w:type="paragraph" w:styleId="TOC6">
    <w:name w:val="toc 6"/>
    <w:basedOn w:val="Normal"/>
    <w:next w:val="Normal"/>
    <w:autoRedefine/>
    <w:uiPriority w:val="99"/>
    <w:rsid w:val="002D3770"/>
    <w:pPr>
      <w:ind w:left="900"/>
      <w:jc w:val="left"/>
    </w:pPr>
    <w:rPr>
      <w:rFonts w:ascii="Calibri" w:hAnsi="Calibri"/>
      <w:sz w:val="20"/>
    </w:rPr>
  </w:style>
  <w:style w:type="paragraph" w:styleId="TOC7">
    <w:name w:val="toc 7"/>
    <w:basedOn w:val="Normal"/>
    <w:next w:val="Normal"/>
    <w:autoRedefine/>
    <w:uiPriority w:val="99"/>
    <w:rsid w:val="002D3770"/>
    <w:pPr>
      <w:ind w:left="1080"/>
      <w:jc w:val="left"/>
    </w:pPr>
    <w:rPr>
      <w:rFonts w:ascii="Calibri" w:hAnsi="Calibri"/>
      <w:sz w:val="20"/>
    </w:rPr>
  </w:style>
  <w:style w:type="paragraph" w:styleId="TOC8">
    <w:name w:val="toc 8"/>
    <w:basedOn w:val="Normal"/>
    <w:next w:val="Normal"/>
    <w:autoRedefine/>
    <w:uiPriority w:val="99"/>
    <w:rsid w:val="002D3770"/>
    <w:pPr>
      <w:ind w:left="1260"/>
      <w:jc w:val="left"/>
    </w:pPr>
    <w:rPr>
      <w:rFonts w:ascii="Calibri" w:hAnsi="Calibri"/>
      <w:sz w:val="20"/>
    </w:rPr>
  </w:style>
  <w:style w:type="paragraph" w:styleId="TOC9">
    <w:name w:val="toc 9"/>
    <w:basedOn w:val="Normal"/>
    <w:next w:val="Normal"/>
    <w:autoRedefine/>
    <w:uiPriority w:val="99"/>
    <w:rsid w:val="002D3770"/>
    <w:pPr>
      <w:ind w:left="1440"/>
      <w:jc w:val="left"/>
    </w:pPr>
    <w:rPr>
      <w:rFonts w:ascii="Calibri" w:hAnsi="Calibri"/>
      <w:sz w:val="20"/>
    </w:rPr>
  </w:style>
  <w:style w:type="paragraph" w:styleId="BodyText">
    <w:name w:val="Body Text"/>
    <w:basedOn w:val="Normal"/>
    <w:link w:val="TextoindependienteCar"/>
    <w:uiPriority w:val="99"/>
    <w:rsid w:val="008F487D"/>
    <w:pPr>
      <w:spacing w:after="120"/>
    </w:pPr>
  </w:style>
  <w:style w:type="character" w:customStyle="1" w:styleId="TextoindependienteCar">
    <w:name w:val="Texto independiente Car"/>
    <w:link w:val="BodyText"/>
    <w:uiPriority w:val="99"/>
    <w:locked/>
    <w:rsid w:val="008F487D"/>
    <w:rPr>
      <w:rFonts w:ascii="Arial" w:hAnsi="Arial" w:cs="Times New Roman"/>
      <w:sz w:val="18"/>
      <w:lang w:val="es-ES_tradnl" w:eastAsia="es-CO"/>
    </w:rPr>
  </w:style>
  <w:style w:type="paragraph" w:customStyle="1" w:styleId="Prrafodelista1">
    <w:name w:val="Párrafo de lista1"/>
    <w:basedOn w:val="Normal"/>
    <w:uiPriority w:val="99"/>
    <w:rsid w:val="008F487D"/>
    <w:pPr>
      <w:ind w:left="720"/>
      <w:contextualSpacing/>
      <w:jc w:val="left"/>
    </w:pPr>
    <w:rPr>
      <w:rFonts w:ascii="Times New Roman" w:hAnsi="Times New Roman"/>
      <w:sz w:val="20"/>
      <w:lang w:eastAsia="es-ES"/>
    </w:rPr>
  </w:style>
  <w:style w:type="character" w:styleId="CommentReference">
    <w:name w:val="annotation reference"/>
    <w:uiPriority w:val="99"/>
    <w:semiHidden/>
    <w:rsid w:val="00F84BEB"/>
    <w:rPr>
      <w:rFonts w:cs="Times New Roman"/>
      <w:sz w:val="18"/>
    </w:rPr>
  </w:style>
  <w:style w:type="paragraph" w:styleId="CommentSubject">
    <w:name w:val="annotation subject"/>
    <w:basedOn w:val="CommentText"/>
    <w:next w:val="CommentText"/>
    <w:link w:val="AsuntodelcomentarioCar"/>
    <w:uiPriority w:val="99"/>
    <w:semiHidden/>
    <w:rsid w:val="00F84BEB"/>
    <w:rPr>
      <w:b/>
      <w:bCs/>
    </w:rPr>
  </w:style>
  <w:style w:type="character" w:customStyle="1" w:styleId="AsuntodelcomentarioCar">
    <w:name w:val="Asunto del comentario Car"/>
    <w:link w:val="CommentSubject"/>
    <w:uiPriority w:val="99"/>
    <w:semiHidden/>
    <w:locked/>
    <w:rsid w:val="00F84BEB"/>
    <w:rPr>
      <w:rFonts w:ascii="Arial" w:hAnsi="Arial" w:cs="Times New Roman"/>
      <w:b/>
      <w:lang w:val="es-ES_tradnl" w:eastAsia="es-CO"/>
    </w:rPr>
  </w:style>
  <w:style w:type="paragraph" w:customStyle="1" w:styleId="Sombreadovistoso-nfasis11">
    <w:name w:val="Sombreado vistoso - Énfasis 11"/>
    <w:hidden/>
    <w:uiPriority w:val="99"/>
    <w:rsid w:val="001C0EE5"/>
    <w:rPr>
      <w:rFonts w:ascii="Arial" w:hAnsi="Arial"/>
      <w:sz w:val="18"/>
      <w:lang w:val="es-ES_tradnl" w:eastAsia="es-CO"/>
    </w:rPr>
  </w:style>
  <w:style w:type="paragraph" w:styleId="ListParagraph">
    <w:name w:val="List Paragraph"/>
    <w:basedOn w:val="Normal"/>
    <w:uiPriority w:val="34"/>
    <w:qFormat/>
    <w:rsid w:val="008F1973"/>
    <w:pPr>
      <w:ind w:left="720"/>
      <w:contextualSpacing/>
      <w:jc w:val="left"/>
    </w:pPr>
    <w:rPr>
      <w:sz w:val="24"/>
      <w:lang w:val="es-ES"/>
    </w:rPr>
  </w:style>
  <w:style w:type="paragraph" w:styleId="BodyText3">
    <w:name w:val="Body Text 3"/>
    <w:basedOn w:val="Normal"/>
    <w:link w:val="Textoindependiente3Car"/>
    <w:uiPriority w:val="99"/>
    <w:rsid w:val="005974F4"/>
    <w:pPr>
      <w:ind w:right="51"/>
    </w:pPr>
    <w:rPr>
      <w:lang w:val="es-ES" w:eastAsia="x-none"/>
    </w:rPr>
  </w:style>
  <w:style w:type="character" w:customStyle="1" w:styleId="Textoindependiente3Car">
    <w:name w:val="Texto independiente 3 Car"/>
    <w:link w:val="BodyText3"/>
    <w:uiPriority w:val="99"/>
    <w:rsid w:val="005974F4"/>
    <w:rPr>
      <w:rFonts w:ascii="Arial" w:hAnsi="Arial"/>
      <w:sz w:val="18"/>
      <w:lang w:eastAsia="x-none"/>
    </w:rPr>
  </w:style>
  <w:style w:type="character" w:customStyle="1" w:styleId="normaltextrun">
    <w:name w:val="normaltextrun"/>
    <w:basedOn w:val="DefaultParagraphFont"/>
    <w:rsid w:val="003B2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2.xml" /><Relationship Id="rId14" Type="http://schemas.openxmlformats.org/officeDocument/2006/relationships/footer" Target="footer5.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7.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8.xml" /><Relationship Id="rId27" Type="http://schemas.openxmlformats.org/officeDocument/2006/relationships/header" Target="header9.xml" /><Relationship Id="rId28" Type="http://schemas.openxmlformats.org/officeDocument/2006/relationships/footer" Target="footer12.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footer" Target="footer14.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154071-492a-49af-ba14-6cfbabadf55b">
      <UserInfo>
        <DisplayName>Mariana Escobar Uribe</DisplayName>
        <AccountId>16</AccountId>
        <AccountType/>
      </UserInfo>
      <UserInfo>
        <DisplayName>Luis Felipe Jimenez Salazar</DisplayName>
        <AccountId>20</AccountId>
        <AccountType/>
      </UserInfo>
    </SharedWithUsers>
    <lcf76f155ced4ddcb4097134ff3c332f xmlns="dce85adb-f9f8-4ad2-b93e-5298678f4f16">
      <Terms xmlns="http://schemas.microsoft.com/office/infopath/2007/PartnerControls"/>
    </lcf76f155ced4ddcb4097134ff3c332f>
    <TaxCatchAll xmlns="23154071-492a-49af-ba14-6cfbabadf5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CCD0D1348C8F84FABC73C46F900F10A" ma:contentTypeVersion="14" ma:contentTypeDescription="Crear nuevo documento." ma:contentTypeScope="" ma:versionID="062a5306d95edd69ac1d93c511fe8ad7">
  <xsd:schema xmlns:xsd="http://www.w3.org/2001/XMLSchema" xmlns:xs="http://www.w3.org/2001/XMLSchema" xmlns:p="http://schemas.microsoft.com/office/2006/metadata/properties" xmlns:ns2="dce85adb-f9f8-4ad2-b93e-5298678f4f16" xmlns:ns3="23154071-492a-49af-ba14-6cfbabadf55b" targetNamespace="http://schemas.microsoft.com/office/2006/metadata/properties" ma:root="true" ma:fieldsID="4094825c1a3eeef9b90db781a3479323" ns2:_="" ns3:_="">
    <xsd:import namespace="dce85adb-f9f8-4ad2-b93e-5298678f4f16"/>
    <xsd:import namespace="23154071-492a-49af-ba14-6cfbabadf5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85adb-f9f8-4ad2-b93e-5298678f4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e3ece026-1153-4486-bc0e-f284fdb491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54071-492a-49af-ba14-6cfbabadf5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a09dce-2a4d-4764-9b43-56f58670ec70}" ma:internalName="TaxCatchAll" ma:showField="CatchAllData" ma:web="23154071-492a-49af-ba14-6cfbabadf5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24BA6-7192-44DE-A105-F464ED5BD936}">
  <ds:schemaRefs>
    <ds:schemaRef ds:uri="http://schemas.microsoft.com/office/2006/documentManagement/types"/>
    <ds:schemaRef ds:uri="http://purl.org/dc/elements/1.1/"/>
    <ds:schemaRef ds:uri="2806e0fb-3321-4a19-a0bb-629fbbee7344"/>
    <ds:schemaRef ds:uri="http://purl.org/dc/dcmitype/"/>
    <ds:schemaRef ds:uri="http://schemas.openxmlformats.org/package/2006/metadata/core-properties"/>
    <ds:schemaRef ds:uri="http://schemas.microsoft.com/office/2006/metadata/properties"/>
    <ds:schemaRef ds:uri="http://schemas.microsoft.com/office/infopath/2007/PartnerControls"/>
    <ds:schemaRef ds:uri="87507fc1-2ee4-4bca-8654-35e95601ee33"/>
    <ds:schemaRef ds:uri="http://www.w3.org/XML/1998/namespace"/>
    <ds:schemaRef ds:uri="http://purl.org/dc/terms/"/>
  </ds:schemaRefs>
</ds:datastoreItem>
</file>

<file path=customXml/itemProps2.xml><?xml version="1.0" encoding="utf-8"?>
<ds:datastoreItem xmlns:ds="http://schemas.openxmlformats.org/officeDocument/2006/customXml" ds:itemID="{5E3693AA-AECD-4987-BA9E-373880B111B9}">
  <ds:schemaRefs>
    <ds:schemaRef ds:uri="http://schemas.microsoft.com/sharepoint/v3/contenttype/forms"/>
  </ds:schemaRefs>
</ds:datastoreItem>
</file>

<file path=customXml/itemProps3.xml><?xml version="1.0" encoding="utf-8"?>
<ds:datastoreItem xmlns:ds="http://schemas.openxmlformats.org/officeDocument/2006/customXml" ds:itemID="{79E61976-7840-41DA-96D8-E55E79E3CF7A}">
  <ds:schemaRefs>
    <ds:schemaRef ds:uri="http://schemas.openxmlformats.org/officeDocument/2006/bibliography"/>
  </ds:schemaRefs>
</ds:datastoreItem>
</file>

<file path=customXml/itemProps4.xml><?xml version="1.0" encoding="utf-8"?>
<ds:datastoreItem xmlns:ds="http://schemas.openxmlformats.org/officeDocument/2006/customXml" ds:itemID="{15F05F29-DCA8-4109-8C1E-F3F53A67AF4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5057</Words>
  <Characters>28570</Characters>
  <Application>Microsoft Office Word</Application>
  <DocSecurity>0</DocSecurity>
  <Lines>238</Lines>
  <Paragraphs>67</Paragraphs>
  <ScaleCrop>false</ScaleCrop>
  <Company>Toshiba</Company>
  <LinksUpToDate>false</LinksUpToDate>
  <CharactersWithSpaces>33560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II</dc:title>
  <dc:creator>Yuri Castañeda</dc:creator>
  <cp:lastModifiedBy>Gabriel Armando Ospina Garcia</cp:lastModifiedBy>
  <cp:revision>3</cp:revision>
  <dcterms:created xsi:type="dcterms:W3CDTF">2021-04-27T13:55:00Z</dcterms:created>
  <dcterms:modified xsi:type="dcterms:W3CDTF">2021-04-27T16:39:00Z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0x010100ACCD0D1348C8F84FABC73C46F900F10A</vt:lpwstr>
  </property>
</Properties>
</file>